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21B6" w14:textId="24C2B50E" w:rsidR="0030103A" w:rsidRDefault="0030103A" w:rsidP="00375C1F">
      <w:pPr>
        <w:pStyle w:val="Title"/>
        <w:spacing w:before="0"/>
      </w:pPr>
      <w:r>
        <w:t xml:space="preserve">Minutes of the </w:t>
      </w:r>
      <w:r w:rsidR="00F578DA">
        <w:t xml:space="preserve">Sixtieth </w:t>
      </w:r>
      <w:r w:rsidRPr="00520A68">
        <w:t>Meeting of the Wales Committee</w:t>
      </w:r>
    </w:p>
    <w:p w14:paraId="17231804" w14:textId="135DCE90" w:rsidR="0030103A" w:rsidRPr="008C5DF1" w:rsidRDefault="00F578DA" w:rsidP="00080AFB">
      <w:pPr>
        <w:pStyle w:val="Date"/>
        <w:jc w:val="both"/>
      </w:pPr>
      <w:r>
        <w:rPr>
          <w:rStyle w:val="DateChar"/>
        </w:rPr>
        <w:t>Tuesday 11 January 2022</w:t>
      </w:r>
      <w:r w:rsidR="0030103A">
        <w:rPr>
          <w:rStyle w:val="DateChar"/>
        </w:rPr>
        <w:t xml:space="preserve"> </w:t>
      </w:r>
    </w:p>
    <w:p w14:paraId="385CFD36" w14:textId="77777777" w:rsidR="0030103A" w:rsidRPr="00520A68" w:rsidRDefault="0030103A" w:rsidP="00080AFB">
      <w:pPr>
        <w:jc w:val="both"/>
        <w:rPr>
          <w:b/>
          <w:sz w:val="28"/>
        </w:rPr>
      </w:pPr>
      <w:r w:rsidRPr="00520A68">
        <w:rPr>
          <w:b/>
          <w:sz w:val="28"/>
        </w:rPr>
        <w:t xml:space="preserve">By </w:t>
      </w:r>
      <w:proofErr w:type="spellStart"/>
      <w:r w:rsidRPr="00520A68">
        <w:rPr>
          <w:b/>
          <w:sz w:val="28"/>
        </w:rPr>
        <w:t>weblink</w:t>
      </w:r>
      <w:proofErr w:type="spellEnd"/>
    </w:p>
    <w:p w14:paraId="626ADD74" w14:textId="77777777" w:rsidR="00520A68" w:rsidRDefault="00520A68" w:rsidP="00080AFB">
      <w:pPr>
        <w:pStyle w:val="Documentstatus"/>
        <w:spacing w:before="720"/>
        <w:jc w:val="both"/>
        <w:rPr>
          <w:szCs w:val="36"/>
          <w:highlight w:val="yellow"/>
        </w:rPr>
      </w:pPr>
    </w:p>
    <w:p w14:paraId="38BE8701" w14:textId="77777777" w:rsidR="00E2433D" w:rsidRPr="00465B9E" w:rsidRDefault="00526047" w:rsidP="00080AFB">
      <w:pPr>
        <w:pStyle w:val="Documentstatus"/>
        <w:spacing w:before="720"/>
        <w:jc w:val="both"/>
        <w:rPr>
          <w:szCs w:val="36"/>
          <w:highlight w:val="yellow"/>
        </w:rPr>
      </w:pPr>
      <w:r w:rsidRPr="00465B9E">
        <w:rPr>
          <w:szCs w:val="36"/>
          <w:highlight w:val="yellow"/>
        </w:rPr>
        <w:br w:type="page"/>
      </w:r>
    </w:p>
    <w:bookmarkStart w:id="0" w:name="_Toc14869782" w:displacedByCustomXml="next"/>
    <w:sdt>
      <w:sdtPr>
        <w:rPr>
          <w:color w:val="auto"/>
          <w:sz w:val="24"/>
          <w:szCs w:val="22"/>
        </w:rPr>
        <w:id w:val="-1183818620"/>
        <w:docPartObj>
          <w:docPartGallery w:val="Table of Contents"/>
          <w:docPartUnique/>
        </w:docPartObj>
      </w:sdtPr>
      <w:sdtEndPr>
        <w:rPr>
          <w:b/>
          <w:bCs/>
          <w:noProof/>
        </w:rPr>
      </w:sdtEndPr>
      <w:sdtContent>
        <w:p w14:paraId="004DFF5E" w14:textId="77777777" w:rsidR="005F7564" w:rsidRDefault="005F7564" w:rsidP="00080AFB">
          <w:pPr>
            <w:pStyle w:val="TOCHeading"/>
            <w:jc w:val="both"/>
          </w:pPr>
          <w:r>
            <w:t>Contents</w:t>
          </w:r>
        </w:p>
        <w:p w14:paraId="71B31358" w14:textId="4F503FD1" w:rsidR="00E53251" w:rsidRDefault="005F7564" w:rsidP="00080AFB">
          <w:pPr>
            <w:pStyle w:val="TOC2"/>
            <w:tabs>
              <w:tab w:val="right" w:leader="dot" w:pos="8608"/>
            </w:tabs>
            <w:jc w:val="both"/>
            <w:rPr>
              <w:rFonts w:eastAsiaTheme="minorEastAsia"/>
              <w:noProof/>
              <w:sz w:val="22"/>
              <w:lang w:eastAsia="en-GB"/>
            </w:rPr>
          </w:pPr>
          <w:r>
            <w:fldChar w:fldCharType="begin"/>
          </w:r>
          <w:r>
            <w:instrText xml:space="preserve"> TOC \o "1-3" \h \z \u </w:instrText>
          </w:r>
          <w:r>
            <w:fldChar w:fldCharType="separate"/>
          </w:r>
          <w:hyperlink w:anchor="_Toc97902452" w:history="1">
            <w:r w:rsidR="00E53251" w:rsidRPr="00296C47">
              <w:rPr>
                <w:rStyle w:val="Hyperlink"/>
                <w:noProof/>
              </w:rPr>
              <w:t>Present</w:t>
            </w:r>
            <w:r w:rsidR="00E53251">
              <w:rPr>
                <w:noProof/>
                <w:webHidden/>
              </w:rPr>
              <w:tab/>
            </w:r>
            <w:r w:rsidR="00E53251">
              <w:rPr>
                <w:noProof/>
                <w:webHidden/>
              </w:rPr>
              <w:fldChar w:fldCharType="begin"/>
            </w:r>
            <w:r w:rsidR="00E53251">
              <w:rPr>
                <w:noProof/>
                <w:webHidden/>
              </w:rPr>
              <w:instrText xml:space="preserve"> PAGEREF _Toc97902452 \h </w:instrText>
            </w:r>
            <w:r w:rsidR="00E53251">
              <w:rPr>
                <w:noProof/>
                <w:webHidden/>
              </w:rPr>
            </w:r>
            <w:r w:rsidR="00E53251">
              <w:rPr>
                <w:noProof/>
                <w:webHidden/>
              </w:rPr>
              <w:fldChar w:fldCharType="separate"/>
            </w:r>
            <w:r w:rsidR="00E53251">
              <w:rPr>
                <w:noProof/>
                <w:webHidden/>
              </w:rPr>
              <w:t>2</w:t>
            </w:r>
            <w:r w:rsidR="00E53251">
              <w:rPr>
                <w:noProof/>
                <w:webHidden/>
              </w:rPr>
              <w:fldChar w:fldCharType="end"/>
            </w:r>
          </w:hyperlink>
        </w:p>
        <w:p w14:paraId="7DFA099B" w14:textId="24627987" w:rsidR="00E53251" w:rsidRDefault="005D3973" w:rsidP="00080AFB">
          <w:pPr>
            <w:pStyle w:val="TOC2"/>
            <w:tabs>
              <w:tab w:val="right" w:leader="dot" w:pos="8608"/>
            </w:tabs>
            <w:jc w:val="both"/>
            <w:rPr>
              <w:rFonts w:eastAsiaTheme="minorEastAsia"/>
              <w:noProof/>
              <w:sz w:val="22"/>
              <w:lang w:eastAsia="en-GB"/>
            </w:rPr>
          </w:pPr>
          <w:hyperlink w:anchor="_Toc97902453" w:history="1">
            <w:r w:rsidR="00E53251" w:rsidRPr="00296C47">
              <w:rPr>
                <w:rStyle w:val="Hyperlink"/>
                <w:noProof/>
              </w:rPr>
              <w:t>In attendance</w:t>
            </w:r>
            <w:r w:rsidR="00E53251">
              <w:rPr>
                <w:noProof/>
                <w:webHidden/>
              </w:rPr>
              <w:tab/>
            </w:r>
            <w:r w:rsidR="00E53251">
              <w:rPr>
                <w:noProof/>
                <w:webHidden/>
              </w:rPr>
              <w:fldChar w:fldCharType="begin"/>
            </w:r>
            <w:r w:rsidR="00E53251">
              <w:rPr>
                <w:noProof/>
                <w:webHidden/>
              </w:rPr>
              <w:instrText xml:space="preserve"> PAGEREF _Toc97902453 \h </w:instrText>
            </w:r>
            <w:r w:rsidR="00E53251">
              <w:rPr>
                <w:noProof/>
                <w:webHidden/>
              </w:rPr>
            </w:r>
            <w:r w:rsidR="00E53251">
              <w:rPr>
                <w:noProof/>
                <w:webHidden/>
              </w:rPr>
              <w:fldChar w:fldCharType="separate"/>
            </w:r>
            <w:r w:rsidR="00E53251">
              <w:rPr>
                <w:noProof/>
                <w:webHidden/>
              </w:rPr>
              <w:t>2</w:t>
            </w:r>
            <w:r w:rsidR="00E53251">
              <w:rPr>
                <w:noProof/>
                <w:webHidden/>
              </w:rPr>
              <w:fldChar w:fldCharType="end"/>
            </w:r>
          </w:hyperlink>
        </w:p>
        <w:p w14:paraId="7C4F7C36" w14:textId="466FCB8C" w:rsidR="00E53251" w:rsidRDefault="005D3973" w:rsidP="00080AFB">
          <w:pPr>
            <w:pStyle w:val="TOC2"/>
            <w:tabs>
              <w:tab w:val="right" w:leader="dot" w:pos="8608"/>
            </w:tabs>
            <w:jc w:val="both"/>
            <w:rPr>
              <w:rFonts w:eastAsiaTheme="minorEastAsia"/>
              <w:noProof/>
              <w:sz w:val="22"/>
              <w:lang w:eastAsia="en-GB"/>
            </w:rPr>
          </w:pPr>
          <w:hyperlink w:anchor="_Toc97902454" w:history="1">
            <w:r w:rsidR="00E53251" w:rsidRPr="00296C47">
              <w:rPr>
                <w:rStyle w:val="Hyperlink"/>
                <w:noProof/>
              </w:rPr>
              <w:t>Apologies</w:t>
            </w:r>
            <w:r w:rsidR="00E53251">
              <w:rPr>
                <w:noProof/>
                <w:webHidden/>
              </w:rPr>
              <w:tab/>
            </w:r>
            <w:r w:rsidR="00E53251">
              <w:rPr>
                <w:noProof/>
                <w:webHidden/>
              </w:rPr>
              <w:fldChar w:fldCharType="begin"/>
            </w:r>
            <w:r w:rsidR="00E53251">
              <w:rPr>
                <w:noProof/>
                <w:webHidden/>
              </w:rPr>
              <w:instrText xml:space="preserve"> PAGEREF _Toc97902454 \h </w:instrText>
            </w:r>
            <w:r w:rsidR="00E53251">
              <w:rPr>
                <w:noProof/>
                <w:webHidden/>
              </w:rPr>
            </w:r>
            <w:r w:rsidR="00E53251">
              <w:rPr>
                <w:noProof/>
                <w:webHidden/>
              </w:rPr>
              <w:fldChar w:fldCharType="separate"/>
            </w:r>
            <w:r w:rsidR="00E53251">
              <w:rPr>
                <w:noProof/>
                <w:webHidden/>
              </w:rPr>
              <w:t>2</w:t>
            </w:r>
            <w:r w:rsidR="00E53251">
              <w:rPr>
                <w:noProof/>
                <w:webHidden/>
              </w:rPr>
              <w:fldChar w:fldCharType="end"/>
            </w:r>
          </w:hyperlink>
        </w:p>
        <w:p w14:paraId="105D1C08" w14:textId="06707FF7" w:rsidR="00E53251" w:rsidRDefault="005D3973" w:rsidP="00080AFB">
          <w:pPr>
            <w:pStyle w:val="TOC2"/>
            <w:tabs>
              <w:tab w:val="right" w:leader="dot" w:pos="8608"/>
            </w:tabs>
            <w:jc w:val="both"/>
            <w:rPr>
              <w:rFonts w:eastAsiaTheme="minorEastAsia"/>
              <w:noProof/>
              <w:sz w:val="22"/>
              <w:lang w:eastAsia="en-GB"/>
            </w:rPr>
          </w:pPr>
          <w:hyperlink w:anchor="_Toc97902455" w:history="1">
            <w:r w:rsidR="00E53251" w:rsidRPr="00296C47">
              <w:rPr>
                <w:rStyle w:val="Hyperlink"/>
                <w:noProof/>
              </w:rPr>
              <w:t>Absent</w:t>
            </w:r>
            <w:r w:rsidR="00E53251">
              <w:rPr>
                <w:noProof/>
                <w:webHidden/>
              </w:rPr>
              <w:tab/>
            </w:r>
            <w:r w:rsidR="00E53251">
              <w:rPr>
                <w:noProof/>
                <w:webHidden/>
              </w:rPr>
              <w:fldChar w:fldCharType="begin"/>
            </w:r>
            <w:r w:rsidR="00E53251">
              <w:rPr>
                <w:noProof/>
                <w:webHidden/>
              </w:rPr>
              <w:instrText xml:space="preserve"> PAGEREF _Toc97902455 \h </w:instrText>
            </w:r>
            <w:r w:rsidR="00E53251">
              <w:rPr>
                <w:noProof/>
                <w:webHidden/>
              </w:rPr>
            </w:r>
            <w:r w:rsidR="00E53251">
              <w:rPr>
                <w:noProof/>
                <w:webHidden/>
              </w:rPr>
              <w:fldChar w:fldCharType="separate"/>
            </w:r>
            <w:r w:rsidR="00E53251">
              <w:rPr>
                <w:noProof/>
                <w:webHidden/>
              </w:rPr>
              <w:t>2</w:t>
            </w:r>
            <w:r w:rsidR="00E53251">
              <w:rPr>
                <w:noProof/>
                <w:webHidden/>
              </w:rPr>
              <w:fldChar w:fldCharType="end"/>
            </w:r>
          </w:hyperlink>
        </w:p>
        <w:p w14:paraId="5F090E7C" w14:textId="6D7FF715" w:rsidR="00E53251" w:rsidRDefault="005D3973" w:rsidP="00080AFB">
          <w:pPr>
            <w:pStyle w:val="TOC2"/>
            <w:tabs>
              <w:tab w:val="right" w:leader="dot" w:pos="8608"/>
            </w:tabs>
            <w:jc w:val="both"/>
            <w:rPr>
              <w:rFonts w:eastAsiaTheme="minorEastAsia"/>
              <w:noProof/>
              <w:sz w:val="22"/>
              <w:lang w:eastAsia="en-GB"/>
            </w:rPr>
          </w:pPr>
          <w:hyperlink w:anchor="_Toc97902456" w:history="1">
            <w:r w:rsidR="00E53251" w:rsidRPr="00296C47">
              <w:rPr>
                <w:rStyle w:val="Hyperlink"/>
                <w:noProof/>
              </w:rPr>
              <w:t>1. Welcome, Introductions and Declarations of Interest</w:t>
            </w:r>
            <w:r w:rsidR="00E53251">
              <w:rPr>
                <w:noProof/>
                <w:webHidden/>
              </w:rPr>
              <w:tab/>
            </w:r>
            <w:r w:rsidR="00E53251">
              <w:rPr>
                <w:noProof/>
                <w:webHidden/>
              </w:rPr>
              <w:fldChar w:fldCharType="begin"/>
            </w:r>
            <w:r w:rsidR="00E53251">
              <w:rPr>
                <w:noProof/>
                <w:webHidden/>
              </w:rPr>
              <w:instrText xml:space="preserve"> PAGEREF _Toc97902456 \h </w:instrText>
            </w:r>
            <w:r w:rsidR="00E53251">
              <w:rPr>
                <w:noProof/>
                <w:webHidden/>
              </w:rPr>
            </w:r>
            <w:r w:rsidR="00E53251">
              <w:rPr>
                <w:noProof/>
                <w:webHidden/>
              </w:rPr>
              <w:fldChar w:fldCharType="separate"/>
            </w:r>
            <w:r w:rsidR="00E53251">
              <w:rPr>
                <w:noProof/>
                <w:webHidden/>
              </w:rPr>
              <w:t>3</w:t>
            </w:r>
            <w:r w:rsidR="00E53251">
              <w:rPr>
                <w:noProof/>
                <w:webHidden/>
              </w:rPr>
              <w:fldChar w:fldCharType="end"/>
            </w:r>
          </w:hyperlink>
        </w:p>
        <w:p w14:paraId="797D91FF" w14:textId="56C78D0D" w:rsidR="00E53251" w:rsidRDefault="005D3973" w:rsidP="00080AFB">
          <w:pPr>
            <w:pStyle w:val="TOC2"/>
            <w:tabs>
              <w:tab w:val="right" w:leader="dot" w:pos="8608"/>
            </w:tabs>
            <w:jc w:val="both"/>
            <w:rPr>
              <w:rFonts w:eastAsiaTheme="minorEastAsia"/>
              <w:noProof/>
              <w:sz w:val="22"/>
              <w:lang w:eastAsia="en-GB"/>
            </w:rPr>
          </w:pPr>
          <w:hyperlink w:anchor="_Toc97902457" w:history="1">
            <w:r w:rsidR="00E53251" w:rsidRPr="00296C47">
              <w:rPr>
                <w:rStyle w:val="Hyperlink"/>
                <w:noProof/>
              </w:rPr>
              <w:t>2. Minutes of 59th meeting of the Wales Committee (EHRC WC 60.01)</w:t>
            </w:r>
            <w:r w:rsidR="00E53251">
              <w:rPr>
                <w:noProof/>
                <w:webHidden/>
              </w:rPr>
              <w:tab/>
            </w:r>
            <w:r w:rsidR="00E53251">
              <w:rPr>
                <w:noProof/>
                <w:webHidden/>
              </w:rPr>
              <w:fldChar w:fldCharType="begin"/>
            </w:r>
            <w:r w:rsidR="00E53251">
              <w:rPr>
                <w:noProof/>
                <w:webHidden/>
              </w:rPr>
              <w:instrText xml:space="preserve"> PAGEREF _Toc97902457 \h </w:instrText>
            </w:r>
            <w:r w:rsidR="00E53251">
              <w:rPr>
                <w:noProof/>
                <w:webHidden/>
              </w:rPr>
            </w:r>
            <w:r w:rsidR="00E53251">
              <w:rPr>
                <w:noProof/>
                <w:webHidden/>
              </w:rPr>
              <w:fldChar w:fldCharType="separate"/>
            </w:r>
            <w:r w:rsidR="00E53251">
              <w:rPr>
                <w:noProof/>
                <w:webHidden/>
              </w:rPr>
              <w:t>3</w:t>
            </w:r>
            <w:r w:rsidR="00E53251">
              <w:rPr>
                <w:noProof/>
                <w:webHidden/>
              </w:rPr>
              <w:fldChar w:fldCharType="end"/>
            </w:r>
          </w:hyperlink>
        </w:p>
        <w:p w14:paraId="6156D381" w14:textId="5ED827B9" w:rsidR="00E53251" w:rsidRDefault="005D3973" w:rsidP="00080AFB">
          <w:pPr>
            <w:pStyle w:val="TOC2"/>
            <w:tabs>
              <w:tab w:val="right" w:leader="dot" w:pos="8608"/>
            </w:tabs>
            <w:jc w:val="both"/>
            <w:rPr>
              <w:rFonts w:eastAsiaTheme="minorEastAsia"/>
              <w:noProof/>
              <w:sz w:val="22"/>
              <w:lang w:eastAsia="en-GB"/>
            </w:rPr>
          </w:pPr>
          <w:hyperlink w:anchor="_Toc97902458" w:history="1">
            <w:r w:rsidR="00E53251" w:rsidRPr="00296C47">
              <w:rPr>
                <w:rStyle w:val="Hyperlink"/>
                <w:noProof/>
              </w:rPr>
              <w:t>3. Current matters arising (EHRC WC 60.02)</w:t>
            </w:r>
            <w:r w:rsidR="00E53251">
              <w:rPr>
                <w:noProof/>
                <w:webHidden/>
              </w:rPr>
              <w:tab/>
            </w:r>
            <w:r w:rsidR="00E53251">
              <w:rPr>
                <w:noProof/>
                <w:webHidden/>
              </w:rPr>
              <w:fldChar w:fldCharType="begin"/>
            </w:r>
            <w:r w:rsidR="00E53251">
              <w:rPr>
                <w:noProof/>
                <w:webHidden/>
              </w:rPr>
              <w:instrText xml:space="preserve"> PAGEREF _Toc97902458 \h </w:instrText>
            </w:r>
            <w:r w:rsidR="00E53251">
              <w:rPr>
                <w:noProof/>
                <w:webHidden/>
              </w:rPr>
            </w:r>
            <w:r w:rsidR="00E53251">
              <w:rPr>
                <w:noProof/>
                <w:webHidden/>
              </w:rPr>
              <w:fldChar w:fldCharType="separate"/>
            </w:r>
            <w:r w:rsidR="00E53251">
              <w:rPr>
                <w:noProof/>
                <w:webHidden/>
              </w:rPr>
              <w:t>3</w:t>
            </w:r>
            <w:r w:rsidR="00E53251">
              <w:rPr>
                <w:noProof/>
                <w:webHidden/>
              </w:rPr>
              <w:fldChar w:fldCharType="end"/>
            </w:r>
          </w:hyperlink>
        </w:p>
        <w:p w14:paraId="5AFCDD0B" w14:textId="0A7A05B3" w:rsidR="00E53251" w:rsidRDefault="005D3973" w:rsidP="00080AFB">
          <w:pPr>
            <w:pStyle w:val="TOC2"/>
            <w:tabs>
              <w:tab w:val="right" w:leader="dot" w:pos="8608"/>
            </w:tabs>
            <w:jc w:val="both"/>
            <w:rPr>
              <w:rFonts w:eastAsiaTheme="minorEastAsia"/>
              <w:noProof/>
              <w:sz w:val="22"/>
              <w:lang w:eastAsia="en-GB"/>
            </w:rPr>
          </w:pPr>
          <w:hyperlink w:anchor="_Toc97902459" w:history="1">
            <w:r w:rsidR="00E53251" w:rsidRPr="00296C47">
              <w:rPr>
                <w:rStyle w:val="Hyperlink"/>
                <w:noProof/>
              </w:rPr>
              <w:t>4. Interim Chair Report (EHRC WC 60.03)</w:t>
            </w:r>
            <w:r w:rsidR="00E53251">
              <w:rPr>
                <w:noProof/>
                <w:webHidden/>
              </w:rPr>
              <w:tab/>
            </w:r>
            <w:r w:rsidR="00E53251">
              <w:rPr>
                <w:noProof/>
                <w:webHidden/>
              </w:rPr>
              <w:fldChar w:fldCharType="begin"/>
            </w:r>
            <w:r w:rsidR="00E53251">
              <w:rPr>
                <w:noProof/>
                <w:webHidden/>
              </w:rPr>
              <w:instrText xml:space="preserve"> PAGEREF _Toc97902459 \h </w:instrText>
            </w:r>
            <w:r w:rsidR="00E53251">
              <w:rPr>
                <w:noProof/>
                <w:webHidden/>
              </w:rPr>
            </w:r>
            <w:r w:rsidR="00E53251">
              <w:rPr>
                <w:noProof/>
                <w:webHidden/>
              </w:rPr>
              <w:fldChar w:fldCharType="separate"/>
            </w:r>
            <w:r w:rsidR="00E53251">
              <w:rPr>
                <w:noProof/>
                <w:webHidden/>
              </w:rPr>
              <w:t>4</w:t>
            </w:r>
            <w:r w:rsidR="00E53251">
              <w:rPr>
                <w:noProof/>
                <w:webHidden/>
              </w:rPr>
              <w:fldChar w:fldCharType="end"/>
            </w:r>
          </w:hyperlink>
        </w:p>
        <w:p w14:paraId="31B8DF64" w14:textId="0E710DB4" w:rsidR="00E53251" w:rsidRDefault="005D3973" w:rsidP="005D3973">
          <w:pPr>
            <w:pStyle w:val="TOC2"/>
            <w:tabs>
              <w:tab w:val="right" w:leader="dot" w:pos="8608"/>
            </w:tabs>
            <w:rPr>
              <w:rFonts w:eastAsiaTheme="minorEastAsia"/>
              <w:noProof/>
              <w:sz w:val="22"/>
              <w:lang w:eastAsia="en-GB"/>
            </w:rPr>
          </w:pPr>
          <w:hyperlink w:anchor="_Toc97902460" w:history="1">
            <w:r w:rsidR="00E53251" w:rsidRPr="00296C47">
              <w:rPr>
                <w:rStyle w:val="Hyperlink"/>
                <w:noProof/>
              </w:rPr>
              <w:t>5. Strategic Plan and Business Planning 2022/23: Proposed Workstreams (EHRC WC 60.04, EHRC WC 60.04 Annex A, EHRC WC 60.04 Annex B, EHRC WC 60.04 Annex C, EHRC WC 60.04 Annex D)</w:t>
            </w:r>
            <w:r w:rsidR="00E53251">
              <w:rPr>
                <w:noProof/>
                <w:webHidden/>
              </w:rPr>
              <w:tab/>
            </w:r>
            <w:r w:rsidR="00E53251">
              <w:rPr>
                <w:noProof/>
                <w:webHidden/>
              </w:rPr>
              <w:fldChar w:fldCharType="begin"/>
            </w:r>
            <w:r w:rsidR="00E53251">
              <w:rPr>
                <w:noProof/>
                <w:webHidden/>
              </w:rPr>
              <w:instrText xml:space="preserve"> PAGEREF _Toc97902460 \h </w:instrText>
            </w:r>
            <w:r w:rsidR="00E53251">
              <w:rPr>
                <w:noProof/>
                <w:webHidden/>
              </w:rPr>
            </w:r>
            <w:r w:rsidR="00E53251">
              <w:rPr>
                <w:noProof/>
                <w:webHidden/>
              </w:rPr>
              <w:fldChar w:fldCharType="separate"/>
            </w:r>
            <w:r w:rsidR="00E53251">
              <w:rPr>
                <w:noProof/>
                <w:webHidden/>
              </w:rPr>
              <w:t>5</w:t>
            </w:r>
            <w:r w:rsidR="00E53251">
              <w:rPr>
                <w:noProof/>
                <w:webHidden/>
              </w:rPr>
              <w:fldChar w:fldCharType="end"/>
            </w:r>
          </w:hyperlink>
        </w:p>
        <w:p w14:paraId="1C5EC47D" w14:textId="6A3BBA3E" w:rsidR="00E53251" w:rsidRDefault="005D3973" w:rsidP="005D3973">
          <w:pPr>
            <w:pStyle w:val="TOC2"/>
            <w:tabs>
              <w:tab w:val="right" w:leader="dot" w:pos="8608"/>
            </w:tabs>
            <w:rPr>
              <w:rFonts w:eastAsiaTheme="minorEastAsia"/>
              <w:noProof/>
              <w:sz w:val="22"/>
              <w:lang w:eastAsia="en-GB"/>
            </w:rPr>
          </w:pPr>
          <w:hyperlink w:anchor="_Toc97902461" w:history="1">
            <w:r w:rsidR="00E53251" w:rsidRPr="00296C47">
              <w:rPr>
                <w:rStyle w:val="Hyperlink"/>
                <w:noProof/>
              </w:rPr>
              <w:t xml:space="preserve">6. </w:t>
            </w:r>
            <w:bookmarkStart w:id="1" w:name="_GoBack"/>
            <w:r w:rsidR="00E53251" w:rsidRPr="00296C47">
              <w:rPr>
                <w:rStyle w:val="Hyperlink"/>
                <w:noProof/>
              </w:rPr>
              <w:t>Advancing equality of opportunity through investment decisions (EHRC WC 60.05)</w:t>
            </w:r>
            <w:bookmarkEnd w:id="1"/>
            <w:r w:rsidR="00E53251">
              <w:rPr>
                <w:noProof/>
                <w:webHidden/>
              </w:rPr>
              <w:tab/>
            </w:r>
            <w:r w:rsidR="00E53251">
              <w:rPr>
                <w:noProof/>
                <w:webHidden/>
              </w:rPr>
              <w:fldChar w:fldCharType="begin"/>
            </w:r>
            <w:r w:rsidR="00E53251">
              <w:rPr>
                <w:noProof/>
                <w:webHidden/>
              </w:rPr>
              <w:instrText xml:space="preserve"> PAGEREF _Toc97902461 \h </w:instrText>
            </w:r>
            <w:r w:rsidR="00E53251">
              <w:rPr>
                <w:noProof/>
                <w:webHidden/>
              </w:rPr>
            </w:r>
            <w:r w:rsidR="00E53251">
              <w:rPr>
                <w:noProof/>
                <w:webHidden/>
              </w:rPr>
              <w:fldChar w:fldCharType="separate"/>
            </w:r>
            <w:r w:rsidR="00E53251">
              <w:rPr>
                <w:noProof/>
                <w:webHidden/>
              </w:rPr>
              <w:t>6</w:t>
            </w:r>
            <w:r w:rsidR="00E53251">
              <w:rPr>
                <w:noProof/>
                <w:webHidden/>
              </w:rPr>
              <w:fldChar w:fldCharType="end"/>
            </w:r>
          </w:hyperlink>
        </w:p>
        <w:p w14:paraId="7AA4BBFC" w14:textId="20DBA05B" w:rsidR="00E53251" w:rsidRDefault="005D3973" w:rsidP="00080AFB">
          <w:pPr>
            <w:pStyle w:val="TOC2"/>
            <w:tabs>
              <w:tab w:val="right" w:leader="dot" w:pos="8608"/>
            </w:tabs>
            <w:jc w:val="both"/>
            <w:rPr>
              <w:rFonts w:eastAsiaTheme="minorEastAsia"/>
              <w:noProof/>
              <w:sz w:val="22"/>
              <w:lang w:eastAsia="en-GB"/>
            </w:rPr>
          </w:pPr>
          <w:hyperlink w:anchor="_Toc97902462" w:history="1">
            <w:r w:rsidR="00E53251" w:rsidRPr="00296C47">
              <w:rPr>
                <w:rStyle w:val="Hyperlink"/>
                <w:noProof/>
              </w:rPr>
              <w:t>7. CEO update with input from Chief Strategy and Policy Officer</w:t>
            </w:r>
            <w:r w:rsidR="00E53251">
              <w:rPr>
                <w:noProof/>
                <w:webHidden/>
              </w:rPr>
              <w:tab/>
            </w:r>
            <w:r w:rsidR="00E53251">
              <w:rPr>
                <w:noProof/>
                <w:webHidden/>
              </w:rPr>
              <w:fldChar w:fldCharType="begin"/>
            </w:r>
            <w:r w:rsidR="00E53251">
              <w:rPr>
                <w:noProof/>
                <w:webHidden/>
              </w:rPr>
              <w:instrText xml:space="preserve"> PAGEREF _Toc97902462 \h </w:instrText>
            </w:r>
            <w:r w:rsidR="00E53251">
              <w:rPr>
                <w:noProof/>
                <w:webHidden/>
              </w:rPr>
            </w:r>
            <w:r w:rsidR="00E53251">
              <w:rPr>
                <w:noProof/>
                <w:webHidden/>
              </w:rPr>
              <w:fldChar w:fldCharType="separate"/>
            </w:r>
            <w:r w:rsidR="00E53251">
              <w:rPr>
                <w:noProof/>
                <w:webHidden/>
              </w:rPr>
              <w:t>9</w:t>
            </w:r>
            <w:r w:rsidR="00E53251">
              <w:rPr>
                <w:noProof/>
                <w:webHidden/>
              </w:rPr>
              <w:fldChar w:fldCharType="end"/>
            </w:r>
          </w:hyperlink>
        </w:p>
        <w:p w14:paraId="1CCCA4D1" w14:textId="1C4760E9" w:rsidR="00E53251" w:rsidRDefault="005D3973" w:rsidP="00080AFB">
          <w:pPr>
            <w:pStyle w:val="TOC2"/>
            <w:tabs>
              <w:tab w:val="right" w:leader="dot" w:pos="8608"/>
            </w:tabs>
            <w:jc w:val="both"/>
            <w:rPr>
              <w:rFonts w:eastAsiaTheme="minorEastAsia"/>
              <w:noProof/>
              <w:sz w:val="22"/>
              <w:lang w:eastAsia="en-GB"/>
            </w:rPr>
          </w:pPr>
          <w:hyperlink w:anchor="_Toc97902463" w:history="1">
            <w:r w:rsidR="00E53251" w:rsidRPr="00296C47">
              <w:rPr>
                <w:rStyle w:val="Hyperlink"/>
                <w:noProof/>
              </w:rPr>
              <w:t>8. EHRC Regulatory Functions (EHRC WC 60.06)</w:t>
            </w:r>
            <w:r w:rsidR="00E53251">
              <w:rPr>
                <w:noProof/>
                <w:webHidden/>
              </w:rPr>
              <w:tab/>
            </w:r>
            <w:r w:rsidR="00E53251">
              <w:rPr>
                <w:noProof/>
                <w:webHidden/>
              </w:rPr>
              <w:fldChar w:fldCharType="begin"/>
            </w:r>
            <w:r w:rsidR="00E53251">
              <w:rPr>
                <w:noProof/>
                <w:webHidden/>
              </w:rPr>
              <w:instrText xml:space="preserve"> PAGEREF _Toc97902463 \h </w:instrText>
            </w:r>
            <w:r w:rsidR="00E53251">
              <w:rPr>
                <w:noProof/>
                <w:webHidden/>
              </w:rPr>
            </w:r>
            <w:r w:rsidR="00E53251">
              <w:rPr>
                <w:noProof/>
                <w:webHidden/>
              </w:rPr>
              <w:fldChar w:fldCharType="separate"/>
            </w:r>
            <w:r w:rsidR="00E53251">
              <w:rPr>
                <w:noProof/>
                <w:webHidden/>
              </w:rPr>
              <w:t>10</w:t>
            </w:r>
            <w:r w:rsidR="00E53251">
              <w:rPr>
                <w:noProof/>
                <w:webHidden/>
              </w:rPr>
              <w:fldChar w:fldCharType="end"/>
            </w:r>
          </w:hyperlink>
        </w:p>
        <w:p w14:paraId="71DB998C" w14:textId="289A5DB3" w:rsidR="00E53251" w:rsidRDefault="005D3973" w:rsidP="00080AFB">
          <w:pPr>
            <w:pStyle w:val="TOC2"/>
            <w:tabs>
              <w:tab w:val="right" w:leader="dot" w:pos="8608"/>
            </w:tabs>
            <w:jc w:val="both"/>
            <w:rPr>
              <w:rFonts w:eastAsiaTheme="minorEastAsia"/>
              <w:noProof/>
              <w:sz w:val="22"/>
              <w:lang w:eastAsia="en-GB"/>
            </w:rPr>
          </w:pPr>
          <w:hyperlink w:anchor="_Toc97902464" w:history="1">
            <w:r w:rsidR="00E53251" w:rsidRPr="00296C47">
              <w:rPr>
                <w:rStyle w:val="Hyperlink"/>
                <w:noProof/>
              </w:rPr>
              <w:t>9. Conversion Therapy (EHRC WC 60.07)</w:t>
            </w:r>
            <w:r w:rsidR="00E53251">
              <w:rPr>
                <w:noProof/>
                <w:webHidden/>
              </w:rPr>
              <w:tab/>
            </w:r>
            <w:r w:rsidR="00E53251">
              <w:rPr>
                <w:noProof/>
                <w:webHidden/>
              </w:rPr>
              <w:fldChar w:fldCharType="begin"/>
            </w:r>
            <w:r w:rsidR="00E53251">
              <w:rPr>
                <w:noProof/>
                <w:webHidden/>
              </w:rPr>
              <w:instrText xml:space="preserve"> PAGEREF _Toc97902464 \h </w:instrText>
            </w:r>
            <w:r w:rsidR="00E53251">
              <w:rPr>
                <w:noProof/>
                <w:webHidden/>
              </w:rPr>
            </w:r>
            <w:r w:rsidR="00E53251">
              <w:rPr>
                <w:noProof/>
                <w:webHidden/>
              </w:rPr>
              <w:fldChar w:fldCharType="separate"/>
            </w:r>
            <w:r w:rsidR="00E53251">
              <w:rPr>
                <w:noProof/>
                <w:webHidden/>
              </w:rPr>
              <w:t>12</w:t>
            </w:r>
            <w:r w:rsidR="00E53251">
              <w:rPr>
                <w:noProof/>
                <w:webHidden/>
              </w:rPr>
              <w:fldChar w:fldCharType="end"/>
            </w:r>
          </w:hyperlink>
        </w:p>
        <w:p w14:paraId="109E95D6" w14:textId="6CF95B54" w:rsidR="00E53251" w:rsidRDefault="005D3973" w:rsidP="00080AFB">
          <w:pPr>
            <w:pStyle w:val="TOC2"/>
            <w:tabs>
              <w:tab w:val="right" w:leader="dot" w:pos="8608"/>
            </w:tabs>
            <w:jc w:val="both"/>
            <w:rPr>
              <w:rFonts w:eastAsiaTheme="minorEastAsia"/>
              <w:noProof/>
              <w:sz w:val="22"/>
              <w:lang w:eastAsia="en-GB"/>
            </w:rPr>
          </w:pPr>
          <w:hyperlink w:anchor="_Toc97902465" w:history="1">
            <w:r w:rsidR="00E53251" w:rsidRPr="00296C47">
              <w:rPr>
                <w:rStyle w:val="Hyperlink"/>
                <w:noProof/>
              </w:rPr>
              <w:t>10. Social Care Inquiry (EHRC WC 60.08)</w:t>
            </w:r>
            <w:r w:rsidR="00E53251">
              <w:rPr>
                <w:noProof/>
                <w:webHidden/>
              </w:rPr>
              <w:tab/>
            </w:r>
            <w:r w:rsidR="00E53251">
              <w:rPr>
                <w:noProof/>
                <w:webHidden/>
              </w:rPr>
              <w:fldChar w:fldCharType="begin"/>
            </w:r>
            <w:r w:rsidR="00E53251">
              <w:rPr>
                <w:noProof/>
                <w:webHidden/>
              </w:rPr>
              <w:instrText xml:space="preserve"> PAGEREF _Toc97902465 \h </w:instrText>
            </w:r>
            <w:r w:rsidR="00E53251">
              <w:rPr>
                <w:noProof/>
                <w:webHidden/>
              </w:rPr>
            </w:r>
            <w:r w:rsidR="00E53251">
              <w:rPr>
                <w:noProof/>
                <w:webHidden/>
              </w:rPr>
              <w:fldChar w:fldCharType="separate"/>
            </w:r>
            <w:r w:rsidR="00E53251">
              <w:rPr>
                <w:noProof/>
                <w:webHidden/>
              </w:rPr>
              <w:t>13</w:t>
            </w:r>
            <w:r w:rsidR="00E53251">
              <w:rPr>
                <w:noProof/>
                <w:webHidden/>
              </w:rPr>
              <w:fldChar w:fldCharType="end"/>
            </w:r>
          </w:hyperlink>
        </w:p>
        <w:p w14:paraId="2EE6DD87" w14:textId="394F5715" w:rsidR="00E53251" w:rsidRDefault="005D3973" w:rsidP="00080AFB">
          <w:pPr>
            <w:pStyle w:val="TOC2"/>
            <w:tabs>
              <w:tab w:val="right" w:leader="dot" w:pos="8608"/>
            </w:tabs>
            <w:jc w:val="both"/>
            <w:rPr>
              <w:rFonts w:eastAsiaTheme="minorEastAsia"/>
              <w:noProof/>
              <w:sz w:val="22"/>
              <w:lang w:eastAsia="en-GB"/>
            </w:rPr>
          </w:pPr>
          <w:hyperlink w:anchor="_Toc97902466" w:history="1">
            <w:r w:rsidR="00E53251" w:rsidRPr="00296C47">
              <w:rPr>
                <w:rStyle w:val="Hyperlink"/>
                <w:noProof/>
              </w:rPr>
              <w:t>11. Head of Wales report (EHRC WC 60.09, EHRC WC 60.10)</w:t>
            </w:r>
            <w:r w:rsidR="00E53251">
              <w:rPr>
                <w:noProof/>
                <w:webHidden/>
              </w:rPr>
              <w:tab/>
            </w:r>
            <w:r w:rsidR="00E53251">
              <w:rPr>
                <w:noProof/>
                <w:webHidden/>
              </w:rPr>
              <w:fldChar w:fldCharType="begin"/>
            </w:r>
            <w:r w:rsidR="00E53251">
              <w:rPr>
                <w:noProof/>
                <w:webHidden/>
              </w:rPr>
              <w:instrText xml:space="preserve"> PAGEREF _Toc97902466 \h </w:instrText>
            </w:r>
            <w:r w:rsidR="00E53251">
              <w:rPr>
                <w:noProof/>
                <w:webHidden/>
              </w:rPr>
            </w:r>
            <w:r w:rsidR="00E53251">
              <w:rPr>
                <w:noProof/>
                <w:webHidden/>
              </w:rPr>
              <w:fldChar w:fldCharType="separate"/>
            </w:r>
            <w:r w:rsidR="00E53251">
              <w:rPr>
                <w:noProof/>
                <w:webHidden/>
              </w:rPr>
              <w:t>13</w:t>
            </w:r>
            <w:r w:rsidR="00E53251">
              <w:rPr>
                <w:noProof/>
                <w:webHidden/>
              </w:rPr>
              <w:fldChar w:fldCharType="end"/>
            </w:r>
          </w:hyperlink>
        </w:p>
        <w:p w14:paraId="69CD5304" w14:textId="4ED24ECD" w:rsidR="00E53251" w:rsidRDefault="005D3973" w:rsidP="00080AFB">
          <w:pPr>
            <w:pStyle w:val="TOC2"/>
            <w:tabs>
              <w:tab w:val="right" w:leader="dot" w:pos="8608"/>
            </w:tabs>
            <w:jc w:val="both"/>
            <w:rPr>
              <w:rFonts w:eastAsiaTheme="minorEastAsia"/>
              <w:noProof/>
              <w:sz w:val="22"/>
              <w:lang w:eastAsia="en-GB"/>
            </w:rPr>
          </w:pPr>
          <w:hyperlink w:anchor="_Toc97902467" w:history="1">
            <w:r w:rsidR="00E53251" w:rsidRPr="00296C47">
              <w:rPr>
                <w:rStyle w:val="Hyperlink"/>
                <w:noProof/>
              </w:rPr>
              <w:t xml:space="preserve">12. Any </w:t>
            </w:r>
            <w:r w:rsidR="00375C1F">
              <w:rPr>
                <w:rStyle w:val="Hyperlink"/>
                <w:noProof/>
              </w:rPr>
              <w:t>other b</w:t>
            </w:r>
            <w:r w:rsidR="00E53251" w:rsidRPr="00296C47">
              <w:rPr>
                <w:rStyle w:val="Hyperlink"/>
                <w:noProof/>
              </w:rPr>
              <w:t>usiness</w:t>
            </w:r>
            <w:r w:rsidR="00E53251">
              <w:rPr>
                <w:noProof/>
                <w:webHidden/>
              </w:rPr>
              <w:tab/>
            </w:r>
            <w:r w:rsidR="00E53251">
              <w:rPr>
                <w:noProof/>
                <w:webHidden/>
              </w:rPr>
              <w:fldChar w:fldCharType="begin"/>
            </w:r>
            <w:r w:rsidR="00E53251">
              <w:rPr>
                <w:noProof/>
                <w:webHidden/>
              </w:rPr>
              <w:instrText xml:space="preserve"> PAGEREF _Toc97902467 \h </w:instrText>
            </w:r>
            <w:r w:rsidR="00E53251">
              <w:rPr>
                <w:noProof/>
                <w:webHidden/>
              </w:rPr>
            </w:r>
            <w:r w:rsidR="00E53251">
              <w:rPr>
                <w:noProof/>
                <w:webHidden/>
              </w:rPr>
              <w:fldChar w:fldCharType="separate"/>
            </w:r>
            <w:r w:rsidR="00E53251">
              <w:rPr>
                <w:noProof/>
                <w:webHidden/>
              </w:rPr>
              <w:t>13</w:t>
            </w:r>
            <w:r w:rsidR="00E53251">
              <w:rPr>
                <w:noProof/>
                <w:webHidden/>
              </w:rPr>
              <w:fldChar w:fldCharType="end"/>
            </w:r>
          </w:hyperlink>
        </w:p>
        <w:p w14:paraId="04F6AB88" w14:textId="2F3A23C3" w:rsidR="00E53251" w:rsidRDefault="005D3973" w:rsidP="00080AFB">
          <w:pPr>
            <w:pStyle w:val="TOC2"/>
            <w:tabs>
              <w:tab w:val="right" w:leader="dot" w:pos="8608"/>
            </w:tabs>
            <w:jc w:val="both"/>
            <w:rPr>
              <w:rFonts w:eastAsiaTheme="minorEastAsia"/>
              <w:noProof/>
              <w:sz w:val="22"/>
              <w:lang w:eastAsia="en-GB"/>
            </w:rPr>
          </w:pPr>
          <w:hyperlink w:anchor="_Toc97902468" w:history="1">
            <w:r w:rsidR="00E53251" w:rsidRPr="00296C47">
              <w:rPr>
                <w:rStyle w:val="Hyperlink"/>
                <w:noProof/>
              </w:rPr>
              <w:t>13. Close</w:t>
            </w:r>
            <w:r w:rsidR="00E53251">
              <w:rPr>
                <w:noProof/>
                <w:webHidden/>
              </w:rPr>
              <w:tab/>
            </w:r>
            <w:r w:rsidR="00E53251">
              <w:rPr>
                <w:noProof/>
                <w:webHidden/>
              </w:rPr>
              <w:fldChar w:fldCharType="begin"/>
            </w:r>
            <w:r w:rsidR="00E53251">
              <w:rPr>
                <w:noProof/>
                <w:webHidden/>
              </w:rPr>
              <w:instrText xml:space="preserve"> PAGEREF _Toc97902468 \h </w:instrText>
            </w:r>
            <w:r w:rsidR="00E53251">
              <w:rPr>
                <w:noProof/>
                <w:webHidden/>
              </w:rPr>
            </w:r>
            <w:r w:rsidR="00E53251">
              <w:rPr>
                <w:noProof/>
                <w:webHidden/>
              </w:rPr>
              <w:fldChar w:fldCharType="separate"/>
            </w:r>
            <w:r w:rsidR="00E53251">
              <w:rPr>
                <w:noProof/>
                <w:webHidden/>
              </w:rPr>
              <w:t>14</w:t>
            </w:r>
            <w:r w:rsidR="00E53251">
              <w:rPr>
                <w:noProof/>
                <w:webHidden/>
              </w:rPr>
              <w:fldChar w:fldCharType="end"/>
            </w:r>
          </w:hyperlink>
        </w:p>
        <w:p w14:paraId="6D5D50AE" w14:textId="3A308034" w:rsidR="005F7564" w:rsidRDefault="005F7564" w:rsidP="00080AFB">
          <w:pPr>
            <w:jc w:val="both"/>
          </w:pPr>
          <w:r>
            <w:rPr>
              <w:b/>
              <w:bCs/>
              <w:noProof/>
            </w:rPr>
            <w:fldChar w:fldCharType="end"/>
          </w:r>
        </w:p>
      </w:sdtContent>
    </w:sdt>
    <w:p w14:paraId="2FED1BEC" w14:textId="77777777" w:rsidR="005F7564" w:rsidRDefault="005F7564" w:rsidP="00080AFB">
      <w:pPr>
        <w:keepLines w:val="0"/>
        <w:spacing w:before="0" w:after="160" w:line="259" w:lineRule="auto"/>
        <w:jc w:val="both"/>
        <w:rPr>
          <w:rFonts w:asciiTheme="majorHAnsi" w:eastAsiaTheme="majorEastAsia" w:hAnsiTheme="majorHAnsi" w:cstheme="majorBidi"/>
          <w:b/>
          <w:color w:val="0B4E60" w:themeColor="text2"/>
          <w:sz w:val="36"/>
          <w:szCs w:val="32"/>
        </w:rPr>
      </w:pPr>
      <w:bookmarkStart w:id="2" w:name="_Toc14869783"/>
      <w:bookmarkEnd w:id="0"/>
      <w:r>
        <w:br w:type="page"/>
      </w:r>
    </w:p>
    <w:p w14:paraId="3654F830" w14:textId="77777777" w:rsidR="0030103A" w:rsidRPr="00520A68" w:rsidRDefault="0030103A" w:rsidP="00080AFB">
      <w:pPr>
        <w:pStyle w:val="Heading2"/>
        <w:spacing w:line="360" w:lineRule="auto"/>
        <w:jc w:val="both"/>
      </w:pPr>
      <w:bookmarkStart w:id="3" w:name="_Toc97902452"/>
      <w:bookmarkEnd w:id="2"/>
      <w:r>
        <w:lastRenderedPageBreak/>
        <w:t>Present</w:t>
      </w:r>
      <w:bookmarkEnd w:id="3"/>
    </w:p>
    <w:p w14:paraId="74C21FE7" w14:textId="77777777" w:rsidR="008A2DFE" w:rsidRPr="00082078" w:rsidRDefault="008A2DFE" w:rsidP="00375C1F">
      <w:pPr>
        <w:spacing w:before="0" w:line="360" w:lineRule="auto"/>
        <w:rPr>
          <w:rFonts w:cs="Arial"/>
          <w:szCs w:val="24"/>
        </w:rPr>
      </w:pPr>
      <w:r w:rsidRPr="00082078">
        <w:rPr>
          <w:rFonts w:cs="Arial"/>
          <w:szCs w:val="24"/>
        </w:rPr>
        <w:t>Alison Parken</w:t>
      </w:r>
    </w:p>
    <w:p w14:paraId="28E60D9E" w14:textId="77777777" w:rsidR="008A2DFE" w:rsidRPr="00082078" w:rsidRDefault="008A2DFE" w:rsidP="00375C1F">
      <w:pPr>
        <w:spacing w:before="0" w:line="360" w:lineRule="auto"/>
        <w:rPr>
          <w:rFonts w:cs="Arial"/>
          <w:szCs w:val="24"/>
        </w:rPr>
      </w:pPr>
      <w:r w:rsidRPr="00082078">
        <w:rPr>
          <w:rFonts w:cs="Arial"/>
          <w:szCs w:val="24"/>
        </w:rPr>
        <w:t>Grace Quantock</w:t>
      </w:r>
    </w:p>
    <w:p w14:paraId="1CA52ABC" w14:textId="77777777" w:rsidR="008A2DFE" w:rsidRPr="00082078" w:rsidRDefault="008A2DFE" w:rsidP="00375C1F">
      <w:pPr>
        <w:spacing w:before="0" w:line="360" w:lineRule="auto"/>
        <w:rPr>
          <w:rFonts w:cs="Arial"/>
          <w:szCs w:val="24"/>
        </w:rPr>
      </w:pPr>
      <w:r w:rsidRPr="00082078">
        <w:rPr>
          <w:rFonts w:cs="Arial"/>
          <w:szCs w:val="24"/>
        </w:rPr>
        <w:t>Mark Sykes</w:t>
      </w:r>
    </w:p>
    <w:p w14:paraId="3CE7D771" w14:textId="77777777" w:rsidR="00082078" w:rsidRDefault="008A2DFE" w:rsidP="00375C1F">
      <w:pPr>
        <w:spacing w:before="0" w:line="360" w:lineRule="auto"/>
        <w:rPr>
          <w:rFonts w:cs="Arial"/>
          <w:szCs w:val="24"/>
        </w:rPr>
      </w:pPr>
      <w:r w:rsidRPr="00082078">
        <w:rPr>
          <w:rFonts w:cs="Arial"/>
          <w:szCs w:val="24"/>
        </w:rPr>
        <w:t>Martyn Jones (Interim Chair)</w:t>
      </w:r>
    </w:p>
    <w:p w14:paraId="07653AF4" w14:textId="59C02F6A" w:rsidR="008A2DFE" w:rsidRDefault="008A2DFE" w:rsidP="00375C1F">
      <w:pPr>
        <w:spacing w:before="0" w:line="360" w:lineRule="auto"/>
        <w:rPr>
          <w:rFonts w:cs="Arial"/>
          <w:szCs w:val="24"/>
        </w:rPr>
      </w:pPr>
      <w:r w:rsidRPr="00082078">
        <w:rPr>
          <w:rFonts w:cs="Arial"/>
          <w:szCs w:val="24"/>
        </w:rPr>
        <w:t>Rocio Cifuentes</w:t>
      </w:r>
    </w:p>
    <w:p w14:paraId="51934F26" w14:textId="77777777" w:rsidR="008A2DFE" w:rsidRDefault="0030103A" w:rsidP="00375C1F">
      <w:pPr>
        <w:pStyle w:val="Heading2"/>
        <w:spacing w:line="360" w:lineRule="auto"/>
      </w:pPr>
      <w:bookmarkStart w:id="4" w:name="_Toc97902453"/>
      <w:r>
        <w:t>In attendance</w:t>
      </w:r>
      <w:bookmarkStart w:id="5" w:name="_Toc66435618"/>
      <w:bookmarkEnd w:id="4"/>
    </w:p>
    <w:p w14:paraId="79780394" w14:textId="2278C80B" w:rsidR="00660E9E" w:rsidRPr="00226727" w:rsidRDefault="00660E9E" w:rsidP="00375C1F">
      <w:pPr>
        <w:spacing w:before="0" w:line="360" w:lineRule="auto"/>
        <w:rPr>
          <w:rFonts w:cs="Arial"/>
          <w:i/>
          <w:szCs w:val="24"/>
        </w:rPr>
      </w:pPr>
      <w:r w:rsidRPr="00660E9E">
        <w:rPr>
          <w:rFonts w:cs="Arial"/>
          <w:szCs w:val="24"/>
        </w:rPr>
        <w:t>Chris Oswald (Principal</w:t>
      </w:r>
      <w:r w:rsidR="00E86D26">
        <w:rPr>
          <w:rFonts w:cs="Arial"/>
          <w:szCs w:val="24"/>
        </w:rPr>
        <w:t xml:space="preserve">, </w:t>
      </w:r>
      <w:r w:rsidR="00FA275E">
        <w:rPr>
          <w:rFonts w:cs="Arial"/>
          <w:szCs w:val="24"/>
        </w:rPr>
        <w:t>Special Projects</w:t>
      </w:r>
      <w:r w:rsidRPr="00660E9E">
        <w:rPr>
          <w:rFonts w:cs="Arial"/>
          <w:szCs w:val="24"/>
        </w:rPr>
        <w:t>)</w:t>
      </w:r>
      <w:r w:rsidR="00226727">
        <w:rPr>
          <w:rFonts w:cs="Arial"/>
          <w:szCs w:val="24"/>
        </w:rPr>
        <w:t xml:space="preserve"> </w:t>
      </w:r>
      <w:r w:rsidR="00226727" w:rsidRPr="00226727">
        <w:rPr>
          <w:rFonts w:cs="Arial"/>
          <w:i/>
          <w:szCs w:val="24"/>
        </w:rPr>
        <w:softHyphen/>
        <w:t>Item 6</w:t>
      </w:r>
    </w:p>
    <w:p w14:paraId="0C2E3FE0" w14:textId="71D8922C" w:rsidR="00660E9E" w:rsidRPr="00226727" w:rsidRDefault="00660E9E" w:rsidP="00375C1F">
      <w:pPr>
        <w:spacing w:before="0" w:line="360" w:lineRule="auto"/>
        <w:rPr>
          <w:rFonts w:cs="Arial"/>
          <w:i/>
          <w:szCs w:val="24"/>
        </w:rPr>
      </w:pPr>
      <w:r w:rsidRPr="00660E9E">
        <w:rPr>
          <w:rFonts w:cs="Arial"/>
          <w:szCs w:val="24"/>
        </w:rPr>
        <w:t xml:space="preserve">Jacqueline Killeen (Director of Regulation) </w:t>
      </w:r>
      <w:r w:rsidR="00226727">
        <w:rPr>
          <w:rFonts w:cs="Arial"/>
          <w:i/>
          <w:szCs w:val="24"/>
        </w:rPr>
        <w:t>Item 8</w:t>
      </w:r>
    </w:p>
    <w:p w14:paraId="655538A2" w14:textId="719C1939" w:rsidR="00660E9E" w:rsidRPr="00660E9E" w:rsidRDefault="00660E9E" w:rsidP="00375C1F">
      <w:pPr>
        <w:spacing w:before="0" w:line="360" w:lineRule="auto"/>
        <w:rPr>
          <w:rFonts w:cs="Arial"/>
          <w:i/>
          <w:szCs w:val="24"/>
        </w:rPr>
      </w:pPr>
      <w:r w:rsidRPr="00660E9E">
        <w:rPr>
          <w:rFonts w:cs="Arial"/>
          <w:szCs w:val="24"/>
        </w:rPr>
        <w:t xml:space="preserve">Julie Jarman (Senior Principal, Strategy) </w:t>
      </w:r>
      <w:r w:rsidR="00D1693B">
        <w:rPr>
          <w:rFonts w:cs="Arial"/>
          <w:i/>
          <w:szCs w:val="24"/>
        </w:rPr>
        <w:t>Item 5</w:t>
      </w:r>
    </w:p>
    <w:p w14:paraId="116A8AE7" w14:textId="19FC38A2" w:rsidR="00660E9E" w:rsidRPr="00660E9E" w:rsidRDefault="00660E9E" w:rsidP="00375C1F">
      <w:pPr>
        <w:spacing w:before="0" w:line="360" w:lineRule="auto"/>
        <w:rPr>
          <w:rFonts w:cs="Arial"/>
          <w:i/>
          <w:szCs w:val="24"/>
        </w:rPr>
      </w:pPr>
      <w:r w:rsidRPr="00660E9E">
        <w:rPr>
          <w:rFonts w:cs="Arial"/>
          <w:szCs w:val="24"/>
        </w:rPr>
        <w:t xml:space="preserve">Luke Taylor (Director, Evidence and Strategy) </w:t>
      </w:r>
      <w:r w:rsidR="00D1693B">
        <w:rPr>
          <w:rFonts w:cs="Arial"/>
          <w:i/>
          <w:szCs w:val="24"/>
        </w:rPr>
        <w:t>Item 5</w:t>
      </w:r>
    </w:p>
    <w:p w14:paraId="3F5F708C" w14:textId="1AB95B57" w:rsidR="00660E9E" w:rsidRPr="00612EDB" w:rsidRDefault="00660E9E" w:rsidP="00375C1F">
      <w:pPr>
        <w:spacing w:before="0" w:line="360" w:lineRule="auto"/>
        <w:rPr>
          <w:rFonts w:cs="Arial"/>
          <w:i/>
          <w:szCs w:val="24"/>
        </w:rPr>
      </w:pPr>
      <w:r w:rsidRPr="00660E9E">
        <w:rPr>
          <w:rFonts w:cs="Arial"/>
          <w:szCs w:val="24"/>
        </w:rPr>
        <w:t>Marcial Boo (Chief Executive Officer)</w:t>
      </w:r>
      <w:r w:rsidR="00612EDB">
        <w:rPr>
          <w:rFonts w:cs="Arial"/>
          <w:szCs w:val="24"/>
        </w:rPr>
        <w:t xml:space="preserve"> </w:t>
      </w:r>
    </w:p>
    <w:p w14:paraId="4B6D8047" w14:textId="5E700CED" w:rsidR="00660E9E" w:rsidRPr="00660E9E" w:rsidRDefault="00660E9E" w:rsidP="00375C1F">
      <w:pPr>
        <w:spacing w:before="0" w:line="360" w:lineRule="auto"/>
        <w:rPr>
          <w:rFonts w:cs="Arial"/>
          <w:szCs w:val="24"/>
        </w:rPr>
      </w:pPr>
      <w:r w:rsidRPr="00660E9E">
        <w:rPr>
          <w:rFonts w:cs="Arial"/>
          <w:szCs w:val="24"/>
        </w:rPr>
        <w:t>Melanie Field (Chief Strategy and Policy Officer)</w:t>
      </w:r>
      <w:r w:rsidR="00612EDB">
        <w:rPr>
          <w:rFonts w:cs="Arial"/>
          <w:szCs w:val="24"/>
        </w:rPr>
        <w:t xml:space="preserve"> </w:t>
      </w:r>
    </w:p>
    <w:p w14:paraId="42DF0054" w14:textId="0BA958ED" w:rsidR="00660E9E" w:rsidRPr="00612EDB" w:rsidRDefault="00660E9E" w:rsidP="00375C1F">
      <w:pPr>
        <w:spacing w:before="0" w:line="360" w:lineRule="auto"/>
        <w:rPr>
          <w:rFonts w:cs="Arial"/>
          <w:i/>
          <w:szCs w:val="24"/>
        </w:rPr>
      </w:pPr>
      <w:r w:rsidRPr="00660E9E">
        <w:rPr>
          <w:rFonts w:cs="Arial"/>
          <w:szCs w:val="24"/>
        </w:rPr>
        <w:t>Nathan Owen (Senior Associate, Wales)</w:t>
      </w:r>
      <w:r w:rsidR="00612EDB">
        <w:rPr>
          <w:rFonts w:cs="Arial"/>
          <w:szCs w:val="24"/>
        </w:rPr>
        <w:t xml:space="preserve"> </w:t>
      </w:r>
      <w:r w:rsidR="00612EDB">
        <w:rPr>
          <w:rFonts w:cs="Arial"/>
          <w:i/>
          <w:szCs w:val="24"/>
        </w:rPr>
        <w:t>Item 10</w:t>
      </w:r>
    </w:p>
    <w:p w14:paraId="001C7CDF" w14:textId="77777777" w:rsidR="00660E9E" w:rsidRPr="00660E9E" w:rsidRDefault="00660E9E" w:rsidP="00375C1F">
      <w:pPr>
        <w:spacing w:before="0" w:line="360" w:lineRule="auto"/>
        <w:rPr>
          <w:rFonts w:cs="Arial"/>
          <w:szCs w:val="24"/>
        </w:rPr>
      </w:pPr>
      <w:r w:rsidRPr="00660E9E">
        <w:rPr>
          <w:rFonts w:cs="Arial"/>
          <w:szCs w:val="24"/>
        </w:rPr>
        <w:t>Ruth Coombs (Head of Wales)</w:t>
      </w:r>
    </w:p>
    <w:p w14:paraId="5FEF2F22" w14:textId="77777777" w:rsidR="00660E9E" w:rsidRPr="00D50E69" w:rsidRDefault="00660E9E" w:rsidP="00375C1F">
      <w:pPr>
        <w:spacing w:before="0" w:line="360" w:lineRule="auto"/>
        <w:rPr>
          <w:rFonts w:cs="Arial"/>
          <w:szCs w:val="24"/>
        </w:rPr>
      </w:pPr>
      <w:r w:rsidRPr="00660E9E">
        <w:rPr>
          <w:rFonts w:cs="Arial"/>
          <w:szCs w:val="24"/>
        </w:rPr>
        <w:t>Ruth Doubleday (Senior Associate, Wales)</w:t>
      </w:r>
      <w:r w:rsidRPr="00D50E69">
        <w:rPr>
          <w:rFonts w:cs="Arial"/>
          <w:szCs w:val="24"/>
        </w:rPr>
        <w:t xml:space="preserve"> </w:t>
      </w:r>
    </w:p>
    <w:p w14:paraId="4BAF7955" w14:textId="77777777" w:rsidR="0030103A" w:rsidRDefault="0030103A" w:rsidP="00375C1F">
      <w:pPr>
        <w:pStyle w:val="Heading2"/>
        <w:spacing w:line="360" w:lineRule="auto"/>
        <w:rPr>
          <w:rFonts w:cs="Arial"/>
          <w:b w:val="0"/>
          <w:szCs w:val="24"/>
        </w:rPr>
      </w:pPr>
      <w:bookmarkStart w:id="6" w:name="_Toc97902454"/>
      <w:r>
        <w:t>Apologies</w:t>
      </w:r>
      <w:bookmarkEnd w:id="6"/>
    </w:p>
    <w:p w14:paraId="5445CDAC" w14:textId="77777777" w:rsidR="00082078" w:rsidRDefault="008A2DFE" w:rsidP="00375C1F">
      <w:pPr>
        <w:spacing w:before="0" w:line="360" w:lineRule="auto"/>
        <w:rPr>
          <w:rFonts w:cs="Arial"/>
          <w:szCs w:val="24"/>
        </w:rPr>
      </w:pPr>
      <w:r>
        <w:rPr>
          <w:rFonts w:cs="Arial"/>
          <w:szCs w:val="24"/>
        </w:rPr>
        <w:t>Bethan Thomas</w:t>
      </w:r>
    </w:p>
    <w:p w14:paraId="25CE95E9" w14:textId="76656EB6" w:rsidR="0030103A" w:rsidRDefault="00082078" w:rsidP="00375C1F">
      <w:pPr>
        <w:spacing w:before="0" w:line="360" w:lineRule="auto"/>
        <w:rPr>
          <w:rFonts w:cs="Arial"/>
          <w:szCs w:val="24"/>
        </w:rPr>
      </w:pPr>
      <w:r>
        <w:rPr>
          <w:rFonts w:cs="Arial"/>
          <w:szCs w:val="24"/>
        </w:rPr>
        <w:t>Faith Walker</w:t>
      </w:r>
      <w:r w:rsidR="008A2DFE">
        <w:rPr>
          <w:rFonts w:cs="Arial"/>
          <w:szCs w:val="24"/>
        </w:rPr>
        <w:t xml:space="preserve"> </w:t>
      </w:r>
    </w:p>
    <w:p w14:paraId="6D453052" w14:textId="6BACED32" w:rsidR="00082078" w:rsidRDefault="008A2DFE" w:rsidP="00375C1F">
      <w:pPr>
        <w:spacing w:before="0" w:line="360" w:lineRule="auto"/>
      </w:pPr>
      <w:r w:rsidRPr="008A2DFE">
        <w:t>Geraint Hopkins</w:t>
      </w:r>
    </w:p>
    <w:p w14:paraId="6DD75978" w14:textId="77777777" w:rsidR="0030103A" w:rsidRDefault="0030103A" w:rsidP="00375C1F">
      <w:pPr>
        <w:pStyle w:val="Heading2"/>
        <w:spacing w:line="360" w:lineRule="auto"/>
        <w:rPr>
          <w:rFonts w:cs="Arial"/>
          <w:b w:val="0"/>
          <w:szCs w:val="24"/>
        </w:rPr>
      </w:pPr>
      <w:bookmarkStart w:id="7" w:name="_Toc97902455"/>
      <w:r>
        <w:t>Absent</w:t>
      </w:r>
      <w:bookmarkEnd w:id="7"/>
    </w:p>
    <w:p w14:paraId="799051C5" w14:textId="77777777" w:rsidR="0030103A" w:rsidRDefault="0030103A" w:rsidP="00375C1F">
      <w:pPr>
        <w:keepLines w:val="0"/>
        <w:spacing w:before="0" w:after="160" w:line="259" w:lineRule="auto"/>
        <w:rPr>
          <w:rFonts w:ascii="Arial" w:eastAsia="Times New Roman" w:hAnsi="Arial" w:cs="Times New Roman"/>
          <w:b/>
          <w:bCs/>
          <w:sz w:val="28"/>
          <w:szCs w:val="26"/>
        </w:rPr>
      </w:pPr>
      <w:r>
        <w:t xml:space="preserve">None </w:t>
      </w:r>
      <w:r>
        <w:br w:type="page"/>
      </w:r>
    </w:p>
    <w:p w14:paraId="309DDDA4" w14:textId="77777777" w:rsidR="0030103A" w:rsidRDefault="0030103A" w:rsidP="00375C1F">
      <w:pPr>
        <w:pStyle w:val="Heading2"/>
      </w:pPr>
      <w:bookmarkStart w:id="8" w:name="_Toc97902456"/>
      <w:r>
        <w:lastRenderedPageBreak/>
        <w:t>1. Welcome, I</w:t>
      </w:r>
      <w:r w:rsidRPr="006E16D0">
        <w:t>ntroductions</w:t>
      </w:r>
      <w:bookmarkEnd w:id="5"/>
      <w:r>
        <w:t xml:space="preserve"> and Declarations of Interest</w:t>
      </w:r>
      <w:bookmarkEnd w:id="8"/>
    </w:p>
    <w:p w14:paraId="334CA5C9" w14:textId="086E1B8D" w:rsidR="0030103A" w:rsidRDefault="0030103A" w:rsidP="00375C1F">
      <w:pPr>
        <w:spacing w:after="160" w:line="240" w:lineRule="auto"/>
        <w:ind w:left="720" w:hanging="720"/>
        <w:rPr>
          <w:rFonts w:cs="Arial"/>
          <w:szCs w:val="24"/>
        </w:rPr>
      </w:pPr>
      <w:r>
        <w:t xml:space="preserve">1.1 </w:t>
      </w:r>
      <w:r>
        <w:tab/>
      </w:r>
      <w:r>
        <w:rPr>
          <w:rFonts w:cs="Arial"/>
          <w:szCs w:val="24"/>
        </w:rPr>
        <w:t>The Interim C</w:t>
      </w:r>
      <w:r w:rsidRPr="005D4839">
        <w:rPr>
          <w:rFonts w:cs="Arial"/>
          <w:szCs w:val="24"/>
        </w:rPr>
        <w:t xml:space="preserve">hair welcomed members </w:t>
      </w:r>
      <w:r w:rsidR="001D7E42">
        <w:rPr>
          <w:rFonts w:cs="Arial"/>
          <w:szCs w:val="24"/>
        </w:rPr>
        <w:t xml:space="preserve">and officers to the </w:t>
      </w:r>
      <w:r w:rsidR="0063540E">
        <w:rPr>
          <w:rFonts w:cs="Arial"/>
          <w:szCs w:val="24"/>
        </w:rPr>
        <w:t xml:space="preserve">sixtieth </w:t>
      </w:r>
      <w:r w:rsidR="001D7E42">
        <w:rPr>
          <w:rFonts w:cs="Arial"/>
          <w:szCs w:val="24"/>
        </w:rPr>
        <w:t xml:space="preserve">meeting of the Wales Committee. </w:t>
      </w:r>
      <w:r>
        <w:rPr>
          <w:rFonts w:cs="Arial"/>
          <w:szCs w:val="24"/>
        </w:rPr>
        <w:t xml:space="preserve">Members agreed that the meeting was quorate. </w:t>
      </w:r>
      <w:r w:rsidR="0081569A">
        <w:rPr>
          <w:rFonts w:cs="Arial"/>
          <w:szCs w:val="24"/>
        </w:rPr>
        <w:t xml:space="preserve">The Interim Chair requested any items for Any Other Business, with nothing being raised. </w:t>
      </w:r>
    </w:p>
    <w:p w14:paraId="1E80D541" w14:textId="1EE74DAC" w:rsidR="0030103A" w:rsidRDefault="0030103A" w:rsidP="00375C1F">
      <w:pPr>
        <w:spacing w:after="160" w:line="240" w:lineRule="auto"/>
        <w:ind w:left="720" w:hanging="720"/>
        <w:rPr>
          <w:rFonts w:cs="Arial"/>
          <w:szCs w:val="24"/>
        </w:rPr>
      </w:pPr>
      <w:bookmarkStart w:id="9" w:name="_Hlk81989669"/>
      <w:r>
        <w:rPr>
          <w:rFonts w:cs="Arial"/>
          <w:szCs w:val="24"/>
        </w:rPr>
        <w:t xml:space="preserve">1.2 </w:t>
      </w:r>
      <w:r>
        <w:rPr>
          <w:rFonts w:cs="Arial"/>
          <w:szCs w:val="24"/>
        </w:rPr>
        <w:tab/>
      </w:r>
      <w:r w:rsidRPr="005D4839">
        <w:rPr>
          <w:rFonts w:cs="Arial"/>
          <w:szCs w:val="24"/>
        </w:rPr>
        <w:t xml:space="preserve">Apologies were received from </w:t>
      </w:r>
      <w:r w:rsidR="001D7E42">
        <w:rPr>
          <w:rFonts w:cs="Arial"/>
          <w:szCs w:val="24"/>
        </w:rPr>
        <w:t>Bethan Thomas</w:t>
      </w:r>
      <w:r w:rsidR="0063540E">
        <w:rPr>
          <w:rFonts w:cs="Arial"/>
          <w:szCs w:val="24"/>
        </w:rPr>
        <w:t>, Faith Walker</w:t>
      </w:r>
      <w:r w:rsidR="001D7E42">
        <w:rPr>
          <w:rFonts w:cs="Arial"/>
          <w:szCs w:val="24"/>
        </w:rPr>
        <w:t xml:space="preserve"> and Geraint Hopkins. </w:t>
      </w:r>
    </w:p>
    <w:bookmarkEnd w:id="9"/>
    <w:p w14:paraId="4F81F228" w14:textId="7BF4601C" w:rsidR="0030103A" w:rsidRPr="0063540E" w:rsidRDefault="0030103A" w:rsidP="00375C1F">
      <w:pPr>
        <w:spacing w:after="160" w:line="240" w:lineRule="auto"/>
        <w:ind w:left="720" w:hanging="720"/>
        <w:rPr>
          <w:rFonts w:cs="Arial"/>
          <w:szCs w:val="24"/>
        </w:rPr>
      </w:pPr>
      <w:r>
        <w:rPr>
          <w:rFonts w:cs="Arial"/>
          <w:szCs w:val="24"/>
        </w:rPr>
        <w:t xml:space="preserve">1.3 </w:t>
      </w:r>
      <w:r>
        <w:rPr>
          <w:rFonts w:cs="Arial"/>
          <w:szCs w:val="24"/>
        </w:rPr>
        <w:tab/>
      </w:r>
      <w:r w:rsidR="0063540E">
        <w:rPr>
          <w:rFonts w:cs="Arial"/>
          <w:szCs w:val="24"/>
        </w:rPr>
        <w:t xml:space="preserve">Congratulations were offered to Rocio Cifuentes for her recent appointment to the post of Children’s Commissioner for Wales commencing in April 2022. </w:t>
      </w:r>
      <w:r>
        <w:rPr>
          <w:rFonts w:cs="Arial"/>
          <w:szCs w:val="24"/>
        </w:rPr>
        <w:t xml:space="preserve">No further Declarations of Interest noted. </w:t>
      </w:r>
    </w:p>
    <w:p w14:paraId="4733D6AD" w14:textId="047047F2" w:rsidR="0030103A" w:rsidRDefault="0030103A" w:rsidP="00375C1F">
      <w:pPr>
        <w:pStyle w:val="Heading2"/>
      </w:pPr>
      <w:bookmarkStart w:id="10" w:name="_Toc66435620"/>
      <w:bookmarkStart w:id="11" w:name="_Toc97902457"/>
      <w:r>
        <w:t xml:space="preserve">2. </w:t>
      </w:r>
      <w:bookmarkEnd w:id="10"/>
      <w:r w:rsidR="00080BA6">
        <w:t>Minutes of 59</w:t>
      </w:r>
      <w:r w:rsidRPr="00996188">
        <w:t>th me</w:t>
      </w:r>
      <w:r>
        <w:t xml:space="preserve">eting of the Wales Committee </w:t>
      </w:r>
      <w:r w:rsidR="00080BA6">
        <w:t>(EHRC WC 60</w:t>
      </w:r>
      <w:r w:rsidRPr="00996188">
        <w:t>.01)</w:t>
      </w:r>
      <w:bookmarkEnd w:id="11"/>
    </w:p>
    <w:p w14:paraId="2ABF8523" w14:textId="65DCAD02" w:rsidR="0030103A" w:rsidRDefault="0030103A" w:rsidP="00080AFB">
      <w:pPr>
        <w:spacing w:after="160" w:line="240" w:lineRule="auto"/>
        <w:ind w:left="720" w:hanging="720"/>
        <w:jc w:val="both"/>
      </w:pPr>
      <w:r>
        <w:rPr>
          <w:rFonts w:cs="Arial"/>
          <w:szCs w:val="24"/>
        </w:rPr>
        <w:t xml:space="preserve">2.1 </w:t>
      </w:r>
      <w:r>
        <w:rPr>
          <w:rFonts w:cs="Arial"/>
          <w:szCs w:val="24"/>
        </w:rPr>
        <w:tab/>
      </w:r>
      <w:r w:rsidR="004C640F">
        <w:rPr>
          <w:rFonts w:cs="Arial"/>
          <w:szCs w:val="24"/>
        </w:rPr>
        <w:t xml:space="preserve">The Interim Chair invited Members to consider the minutes of the previous meeting page by page. </w:t>
      </w:r>
      <w:r>
        <w:rPr>
          <w:rFonts w:cs="Arial"/>
          <w:szCs w:val="24"/>
        </w:rPr>
        <w:t>Members a</w:t>
      </w:r>
      <w:r w:rsidR="007633DF">
        <w:rPr>
          <w:rFonts w:cs="Arial"/>
          <w:szCs w:val="24"/>
        </w:rPr>
        <w:t>greed that the minutes of the 5</w:t>
      </w:r>
      <w:r w:rsidR="00080BA6">
        <w:rPr>
          <w:rFonts w:cs="Arial"/>
          <w:szCs w:val="24"/>
        </w:rPr>
        <w:t>9</w:t>
      </w:r>
      <w:r w:rsidRPr="00806363">
        <w:rPr>
          <w:rFonts w:cs="Arial"/>
          <w:szCs w:val="24"/>
          <w:vertAlign w:val="superscript"/>
        </w:rPr>
        <w:t>th</w:t>
      </w:r>
      <w:r>
        <w:rPr>
          <w:rFonts w:cs="Arial"/>
          <w:szCs w:val="24"/>
        </w:rPr>
        <w:t xml:space="preserve"> meeting of the Wales Committee </w:t>
      </w:r>
      <w:r w:rsidR="00FA2078">
        <w:rPr>
          <w:rFonts w:cs="Arial"/>
          <w:szCs w:val="24"/>
        </w:rPr>
        <w:t xml:space="preserve">are an accurate record. </w:t>
      </w:r>
    </w:p>
    <w:p w14:paraId="106364D6" w14:textId="0ECAB0C8" w:rsidR="0030103A" w:rsidRPr="00A74656" w:rsidRDefault="0030103A" w:rsidP="00080AFB">
      <w:pPr>
        <w:pStyle w:val="Heading2"/>
        <w:jc w:val="both"/>
      </w:pPr>
      <w:bookmarkStart w:id="12" w:name="_Toc66435621"/>
      <w:bookmarkStart w:id="13" w:name="_Toc97902458"/>
      <w:r>
        <w:t>3. Cur</w:t>
      </w:r>
      <w:r w:rsidR="0032120D">
        <w:t>rent matters arising (EHRC WC 60</w:t>
      </w:r>
      <w:r>
        <w:t>.02</w:t>
      </w:r>
      <w:r w:rsidR="0032120D">
        <w:t>)</w:t>
      </w:r>
      <w:bookmarkEnd w:id="12"/>
      <w:bookmarkEnd w:id="13"/>
    </w:p>
    <w:p w14:paraId="50202668" w14:textId="4740E44F" w:rsidR="0030103A" w:rsidRDefault="0030103A" w:rsidP="00375C1F">
      <w:pPr>
        <w:spacing w:after="240" w:line="240" w:lineRule="auto"/>
        <w:ind w:left="720" w:hanging="720"/>
        <w:rPr>
          <w:rFonts w:cs="Arial"/>
          <w:szCs w:val="24"/>
        </w:rPr>
      </w:pPr>
      <w:r>
        <w:t xml:space="preserve">3.1 </w:t>
      </w:r>
      <w:r>
        <w:tab/>
      </w:r>
      <w:bookmarkStart w:id="14" w:name="_Toc66435622"/>
      <w:r>
        <w:rPr>
          <w:rFonts w:cs="Arial"/>
          <w:szCs w:val="24"/>
        </w:rPr>
        <w:t>The Committee not</w:t>
      </w:r>
      <w:r w:rsidR="008E7DC4">
        <w:rPr>
          <w:rFonts w:cs="Arial"/>
          <w:szCs w:val="24"/>
        </w:rPr>
        <w:t>ed the matters arising list</w:t>
      </w:r>
      <w:r w:rsidR="00DF2C8A">
        <w:rPr>
          <w:rFonts w:cs="Arial"/>
          <w:szCs w:val="24"/>
        </w:rPr>
        <w:t xml:space="preserve">. The Interim Chair highlighted Actions that have been updated since the last meeting. </w:t>
      </w:r>
    </w:p>
    <w:p w14:paraId="7E5059C3" w14:textId="038C64E9" w:rsidR="0032120D" w:rsidRDefault="00DA0A05" w:rsidP="00375C1F">
      <w:pPr>
        <w:spacing w:after="240" w:line="240" w:lineRule="auto"/>
        <w:ind w:left="720" w:hanging="720"/>
        <w:rPr>
          <w:rFonts w:cs="Arial"/>
          <w:szCs w:val="24"/>
        </w:rPr>
      </w:pPr>
      <w:r>
        <w:rPr>
          <w:rFonts w:cs="Arial"/>
          <w:szCs w:val="24"/>
        </w:rPr>
        <w:t xml:space="preserve">3.2 </w:t>
      </w:r>
      <w:r>
        <w:rPr>
          <w:rFonts w:cs="Arial"/>
          <w:szCs w:val="24"/>
        </w:rPr>
        <w:tab/>
      </w:r>
      <w:r w:rsidR="0032120D">
        <w:t>WC59 Action A</w:t>
      </w:r>
      <w:r w:rsidR="0032120D">
        <w:rPr>
          <w:rFonts w:cs="Arial"/>
          <w:szCs w:val="24"/>
        </w:rPr>
        <w:t xml:space="preserve">, </w:t>
      </w:r>
      <w:r w:rsidR="0032120D" w:rsidRPr="0032120D">
        <w:rPr>
          <w:rFonts w:cs="Arial"/>
          <w:szCs w:val="24"/>
        </w:rPr>
        <w:t>Secretary to simplify Current Matters Arising numbering</w:t>
      </w:r>
      <w:r w:rsidR="0032120D">
        <w:rPr>
          <w:rFonts w:cs="Arial"/>
          <w:szCs w:val="24"/>
        </w:rPr>
        <w:t xml:space="preserve"> system for future meetings, was noted as complete. </w:t>
      </w:r>
    </w:p>
    <w:p w14:paraId="3C07E888" w14:textId="0562CB8F" w:rsidR="0032120D" w:rsidRDefault="0032120D" w:rsidP="00375C1F">
      <w:pPr>
        <w:spacing w:after="240" w:line="240" w:lineRule="auto"/>
        <w:ind w:left="720" w:hanging="720"/>
        <w:rPr>
          <w:rFonts w:cs="Arial"/>
          <w:szCs w:val="24"/>
        </w:rPr>
      </w:pPr>
      <w:r>
        <w:rPr>
          <w:rFonts w:cs="Arial"/>
          <w:szCs w:val="24"/>
        </w:rPr>
        <w:t xml:space="preserve">3.3 </w:t>
      </w:r>
      <w:r>
        <w:rPr>
          <w:rFonts w:cs="Arial"/>
          <w:szCs w:val="24"/>
        </w:rPr>
        <w:tab/>
        <w:t xml:space="preserve">With regards to </w:t>
      </w:r>
      <w:r w:rsidRPr="0032120D">
        <w:rPr>
          <w:rFonts w:cs="Arial"/>
          <w:szCs w:val="24"/>
        </w:rPr>
        <w:t>WC59 Action B</w:t>
      </w:r>
      <w:r w:rsidR="003F069F">
        <w:rPr>
          <w:rFonts w:cs="Arial"/>
          <w:szCs w:val="24"/>
        </w:rPr>
        <w:t xml:space="preserve"> -</w:t>
      </w:r>
      <w:r>
        <w:rPr>
          <w:rFonts w:cs="Arial"/>
          <w:szCs w:val="24"/>
        </w:rPr>
        <w:t xml:space="preserve"> </w:t>
      </w:r>
      <w:r w:rsidRPr="0032120D">
        <w:rPr>
          <w:rFonts w:cs="Arial"/>
          <w:szCs w:val="24"/>
        </w:rPr>
        <w:t>Committee members to receive updates at future meetings on recruitment efforts and the divers</w:t>
      </w:r>
      <w:r>
        <w:rPr>
          <w:rFonts w:cs="Arial"/>
          <w:szCs w:val="24"/>
        </w:rPr>
        <w:t>i</w:t>
      </w:r>
      <w:r w:rsidR="003F069F">
        <w:rPr>
          <w:rFonts w:cs="Arial"/>
          <w:szCs w:val="24"/>
        </w:rPr>
        <w:t>ty of the Commission workforce</w:t>
      </w:r>
      <w:r w:rsidR="00433B81">
        <w:rPr>
          <w:rFonts w:cs="Arial"/>
          <w:szCs w:val="24"/>
        </w:rPr>
        <w:t xml:space="preserve"> - t</w:t>
      </w:r>
      <w:r w:rsidR="00622F31">
        <w:rPr>
          <w:rFonts w:cs="Arial"/>
          <w:szCs w:val="24"/>
        </w:rPr>
        <w:t xml:space="preserve">his was included in the Head of Wales update. </w:t>
      </w:r>
      <w:r w:rsidRPr="0032120D">
        <w:rPr>
          <w:rFonts w:cs="Arial"/>
          <w:szCs w:val="24"/>
        </w:rPr>
        <w:t xml:space="preserve"> </w:t>
      </w:r>
    </w:p>
    <w:p w14:paraId="56A5A40D" w14:textId="01AF9A4A" w:rsidR="0032120D" w:rsidRDefault="0032120D" w:rsidP="00375C1F">
      <w:pPr>
        <w:spacing w:after="240" w:line="240" w:lineRule="auto"/>
        <w:ind w:left="720" w:hanging="720"/>
        <w:rPr>
          <w:rFonts w:cs="Arial"/>
          <w:szCs w:val="24"/>
        </w:rPr>
      </w:pPr>
      <w:r>
        <w:rPr>
          <w:rFonts w:cs="Arial"/>
          <w:szCs w:val="24"/>
        </w:rPr>
        <w:t xml:space="preserve">3.4 </w:t>
      </w:r>
      <w:r>
        <w:rPr>
          <w:rFonts w:cs="Arial"/>
          <w:szCs w:val="24"/>
        </w:rPr>
        <w:tab/>
      </w:r>
      <w:r w:rsidRPr="0032120D">
        <w:rPr>
          <w:rFonts w:cs="Arial"/>
          <w:szCs w:val="24"/>
        </w:rPr>
        <w:t>WC58 Action F</w:t>
      </w:r>
      <w:r>
        <w:rPr>
          <w:rFonts w:cs="Arial"/>
          <w:szCs w:val="24"/>
        </w:rPr>
        <w:t xml:space="preserve"> was noted as on-going. H</w:t>
      </w:r>
      <w:r w:rsidRPr="0032120D">
        <w:rPr>
          <w:rFonts w:cs="Arial"/>
          <w:szCs w:val="24"/>
        </w:rPr>
        <w:t>ead of Wales to ensure that active engagement with stak</w:t>
      </w:r>
      <w:r>
        <w:rPr>
          <w:rFonts w:cs="Arial"/>
          <w:szCs w:val="24"/>
        </w:rPr>
        <w:t>eholders continues</w:t>
      </w:r>
      <w:r w:rsidR="00472DFA">
        <w:rPr>
          <w:rFonts w:cs="Arial"/>
          <w:szCs w:val="24"/>
        </w:rPr>
        <w:t xml:space="preserve">. </w:t>
      </w:r>
      <w:r w:rsidR="00685F5D">
        <w:rPr>
          <w:rFonts w:cs="Arial"/>
          <w:szCs w:val="24"/>
        </w:rPr>
        <w:t>The</w:t>
      </w:r>
      <w:r w:rsidR="003F069F">
        <w:rPr>
          <w:rFonts w:cs="Arial"/>
          <w:szCs w:val="24"/>
        </w:rPr>
        <w:t xml:space="preserve"> Wales team have</w:t>
      </w:r>
      <w:r>
        <w:rPr>
          <w:rFonts w:cs="Arial"/>
          <w:szCs w:val="24"/>
        </w:rPr>
        <w:t xml:space="preserve"> recently m</w:t>
      </w:r>
      <w:r w:rsidRPr="0032120D">
        <w:rPr>
          <w:rFonts w:cs="Arial"/>
          <w:szCs w:val="24"/>
        </w:rPr>
        <w:t xml:space="preserve">et or exceeded Commission targets </w:t>
      </w:r>
      <w:r w:rsidR="003F069F">
        <w:rPr>
          <w:rFonts w:cs="Arial"/>
          <w:szCs w:val="24"/>
        </w:rPr>
        <w:t>for</w:t>
      </w:r>
      <w:r>
        <w:rPr>
          <w:rFonts w:cs="Arial"/>
          <w:szCs w:val="24"/>
        </w:rPr>
        <w:t xml:space="preserve"> engagement with </w:t>
      </w:r>
      <w:r w:rsidRPr="0032120D">
        <w:rPr>
          <w:rFonts w:cs="Arial"/>
          <w:szCs w:val="24"/>
        </w:rPr>
        <w:t>recent</w:t>
      </w:r>
      <w:r w:rsidR="003F069F">
        <w:rPr>
          <w:rFonts w:cs="Arial"/>
          <w:szCs w:val="24"/>
        </w:rPr>
        <w:t xml:space="preserve"> stakeholder</w:t>
      </w:r>
      <w:r w:rsidRPr="0032120D">
        <w:rPr>
          <w:rFonts w:cs="Arial"/>
          <w:szCs w:val="24"/>
        </w:rPr>
        <w:t xml:space="preserve"> communications</w:t>
      </w:r>
      <w:r w:rsidR="003F069F">
        <w:rPr>
          <w:rFonts w:cs="Arial"/>
          <w:szCs w:val="24"/>
        </w:rPr>
        <w:t xml:space="preserve"> and they are</w:t>
      </w:r>
      <w:r w:rsidR="00774955">
        <w:rPr>
          <w:rFonts w:cs="Arial"/>
          <w:szCs w:val="24"/>
        </w:rPr>
        <w:t xml:space="preserve"> organising an online </w:t>
      </w:r>
      <w:r w:rsidRPr="0032120D">
        <w:rPr>
          <w:rFonts w:cs="Arial"/>
          <w:szCs w:val="24"/>
        </w:rPr>
        <w:t>event for February 2022</w:t>
      </w:r>
      <w:r>
        <w:rPr>
          <w:rFonts w:cs="Arial"/>
          <w:szCs w:val="24"/>
        </w:rPr>
        <w:t>.</w:t>
      </w:r>
    </w:p>
    <w:p w14:paraId="68FBE5D1" w14:textId="58CE0ED0" w:rsidR="0032120D" w:rsidRDefault="0032120D" w:rsidP="00375C1F">
      <w:pPr>
        <w:spacing w:after="240" w:line="240" w:lineRule="auto"/>
        <w:ind w:left="720" w:hanging="720"/>
        <w:rPr>
          <w:rFonts w:cs="Arial"/>
          <w:szCs w:val="24"/>
        </w:rPr>
      </w:pPr>
      <w:r>
        <w:rPr>
          <w:rFonts w:cs="Arial"/>
          <w:szCs w:val="24"/>
        </w:rPr>
        <w:lastRenderedPageBreak/>
        <w:t xml:space="preserve">3.5 </w:t>
      </w:r>
      <w:r>
        <w:rPr>
          <w:rFonts w:cs="Arial"/>
          <w:szCs w:val="24"/>
        </w:rPr>
        <w:tab/>
      </w:r>
      <w:r w:rsidRPr="0032120D">
        <w:rPr>
          <w:rFonts w:cs="Arial"/>
          <w:szCs w:val="24"/>
        </w:rPr>
        <w:t>WC56 Action E</w:t>
      </w:r>
      <w:r>
        <w:rPr>
          <w:rFonts w:cs="Arial"/>
          <w:szCs w:val="24"/>
        </w:rPr>
        <w:t xml:space="preserve"> was noted as on-going. </w:t>
      </w:r>
      <w:r w:rsidRPr="0032120D">
        <w:rPr>
          <w:rFonts w:cs="Arial"/>
          <w:szCs w:val="24"/>
        </w:rPr>
        <w:t xml:space="preserve">Secretary and Head of Wales are now in active discussions with </w:t>
      </w:r>
      <w:proofErr w:type="spellStart"/>
      <w:r w:rsidRPr="0032120D">
        <w:rPr>
          <w:rFonts w:cs="Arial"/>
          <w:szCs w:val="24"/>
        </w:rPr>
        <w:t>Academi</w:t>
      </w:r>
      <w:proofErr w:type="spellEnd"/>
      <w:r w:rsidRPr="0032120D">
        <w:rPr>
          <w:rFonts w:cs="Arial"/>
          <w:szCs w:val="24"/>
        </w:rPr>
        <w:t xml:space="preserve"> Wales about apprenticeship opportunities. Director of People and Infrastructure to be looped in as appropriate.  </w:t>
      </w:r>
    </w:p>
    <w:p w14:paraId="7E7AD696" w14:textId="0337203E" w:rsidR="0032120D" w:rsidRDefault="0032120D" w:rsidP="00375C1F">
      <w:pPr>
        <w:spacing w:after="240" w:line="240" w:lineRule="auto"/>
        <w:ind w:left="720" w:hanging="720"/>
        <w:rPr>
          <w:rFonts w:cs="Arial"/>
          <w:szCs w:val="24"/>
        </w:rPr>
      </w:pPr>
      <w:r>
        <w:rPr>
          <w:rFonts w:cs="Arial"/>
          <w:szCs w:val="24"/>
        </w:rPr>
        <w:t xml:space="preserve">3.6 </w:t>
      </w:r>
      <w:r>
        <w:rPr>
          <w:rFonts w:cs="Arial"/>
          <w:szCs w:val="24"/>
        </w:rPr>
        <w:tab/>
      </w:r>
      <w:r w:rsidRPr="0032120D">
        <w:rPr>
          <w:rFonts w:cs="Arial"/>
          <w:szCs w:val="24"/>
        </w:rPr>
        <w:t>WC49 Action P</w:t>
      </w:r>
      <w:r w:rsidR="00724958">
        <w:rPr>
          <w:rFonts w:cs="Arial"/>
          <w:szCs w:val="24"/>
        </w:rPr>
        <w:t xml:space="preserve"> - </w:t>
      </w:r>
      <w:r w:rsidR="00356C5E">
        <w:rPr>
          <w:rFonts w:cs="Arial"/>
          <w:szCs w:val="24"/>
        </w:rPr>
        <w:t xml:space="preserve">advising Welsh Government on the review of the </w:t>
      </w:r>
      <w:r w:rsidR="00601F26">
        <w:rPr>
          <w:rFonts w:cs="Arial"/>
          <w:szCs w:val="24"/>
        </w:rPr>
        <w:t>Public Sector Economic Duty (</w:t>
      </w:r>
      <w:r w:rsidR="00356C5E">
        <w:rPr>
          <w:rFonts w:cs="Arial"/>
          <w:szCs w:val="24"/>
        </w:rPr>
        <w:t>PSED</w:t>
      </w:r>
      <w:r w:rsidR="00601F26">
        <w:rPr>
          <w:rFonts w:cs="Arial"/>
          <w:szCs w:val="24"/>
        </w:rPr>
        <w:t>)</w:t>
      </w:r>
      <w:r w:rsidR="00724958">
        <w:rPr>
          <w:rFonts w:cs="Arial"/>
          <w:szCs w:val="24"/>
        </w:rPr>
        <w:t xml:space="preserve"> - </w:t>
      </w:r>
      <w:r>
        <w:rPr>
          <w:rFonts w:cs="Arial"/>
          <w:szCs w:val="24"/>
        </w:rPr>
        <w:t xml:space="preserve">was observed to be on-going. </w:t>
      </w:r>
      <w:r w:rsidRPr="0032120D">
        <w:rPr>
          <w:rFonts w:cs="Arial"/>
          <w:szCs w:val="24"/>
        </w:rPr>
        <w:t xml:space="preserve">This work is being progressed by </w:t>
      </w:r>
      <w:r w:rsidR="00202214">
        <w:rPr>
          <w:rFonts w:cs="Arial"/>
          <w:szCs w:val="24"/>
        </w:rPr>
        <w:t xml:space="preserve">the Wales team. </w:t>
      </w:r>
      <w:r w:rsidR="00356C5E">
        <w:rPr>
          <w:rFonts w:cs="Arial"/>
          <w:szCs w:val="24"/>
        </w:rPr>
        <w:t>At present, Welsh government</w:t>
      </w:r>
      <w:r w:rsidR="00356C5E" w:rsidRPr="00356C5E">
        <w:rPr>
          <w:rFonts w:cs="Arial"/>
          <w:szCs w:val="24"/>
        </w:rPr>
        <w:t xml:space="preserve"> are delaying on specific duties</w:t>
      </w:r>
      <w:r w:rsidR="00356C5E">
        <w:rPr>
          <w:rFonts w:cs="Arial"/>
          <w:szCs w:val="24"/>
        </w:rPr>
        <w:t xml:space="preserve"> but the Commission is engaging with the lead on the review. It has been recorded on the Commission’s Risk Register that the PSED review has been changed to a Rapid Review which has the potential to be less detailed. </w:t>
      </w:r>
      <w:r w:rsidR="00202214" w:rsidRPr="0032120D">
        <w:rPr>
          <w:rFonts w:cs="Arial"/>
          <w:szCs w:val="24"/>
        </w:rPr>
        <w:t>Head of Wales will keep the Wales Committee updat</w:t>
      </w:r>
      <w:r w:rsidR="00202214">
        <w:rPr>
          <w:rFonts w:cs="Arial"/>
          <w:szCs w:val="24"/>
        </w:rPr>
        <w:t>ed regarding progress.</w:t>
      </w:r>
    </w:p>
    <w:p w14:paraId="5FA112B3" w14:textId="32231243" w:rsidR="0030103A" w:rsidRPr="00A74656" w:rsidRDefault="0030103A" w:rsidP="00080AFB">
      <w:pPr>
        <w:pStyle w:val="Heading2"/>
        <w:jc w:val="both"/>
      </w:pPr>
      <w:bookmarkStart w:id="15" w:name="_Toc97902459"/>
      <w:bookmarkEnd w:id="14"/>
      <w:r>
        <w:t xml:space="preserve">4. </w:t>
      </w:r>
      <w:r w:rsidR="00B907F4">
        <w:t>Interim Chair Report (EHRC WC 60.03</w:t>
      </w:r>
      <w:r w:rsidRPr="00F26222">
        <w:t>)</w:t>
      </w:r>
      <w:bookmarkEnd w:id="15"/>
    </w:p>
    <w:p w14:paraId="41573E5C" w14:textId="24882C41" w:rsidR="0030103A" w:rsidRDefault="0030103A" w:rsidP="00375C1F">
      <w:pPr>
        <w:spacing w:after="240" w:line="240" w:lineRule="auto"/>
        <w:ind w:left="720" w:hanging="720"/>
        <w:rPr>
          <w:rFonts w:cs="Arial"/>
          <w:bCs/>
          <w:szCs w:val="24"/>
        </w:rPr>
      </w:pPr>
      <w:r>
        <w:t xml:space="preserve">4.1 </w:t>
      </w:r>
      <w:r>
        <w:tab/>
      </w:r>
      <w:r w:rsidR="00277B11" w:rsidRPr="004F35D3">
        <w:rPr>
          <w:rFonts w:cs="Arial"/>
          <w:bCs/>
          <w:szCs w:val="24"/>
        </w:rPr>
        <w:t xml:space="preserve">The Interim Chair provided an update on activities since the last Committee meeting </w:t>
      </w:r>
      <w:r w:rsidR="00B2551E">
        <w:rPr>
          <w:rFonts w:cs="Arial"/>
          <w:bCs/>
          <w:szCs w:val="24"/>
        </w:rPr>
        <w:t xml:space="preserve">held </w:t>
      </w:r>
      <w:r w:rsidR="00277B11" w:rsidRPr="004F35D3">
        <w:rPr>
          <w:rFonts w:cs="Arial"/>
          <w:bCs/>
          <w:szCs w:val="24"/>
        </w:rPr>
        <w:t xml:space="preserve">on </w:t>
      </w:r>
      <w:r w:rsidR="00E80653">
        <w:rPr>
          <w:rFonts w:cs="Arial"/>
          <w:bCs/>
          <w:szCs w:val="24"/>
        </w:rPr>
        <w:t>11 November 2021, i</w:t>
      </w:r>
      <w:r w:rsidR="00277B11">
        <w:rPr>
          <w:rFonts w:cs="Arial"/>
          <w:bCs/>
          <w:szCs w:val="24"/>
        </w:rPr>
        <w:t xml:space="preserve">ncluding </w:t>
      </w:r>
      <w:r w:rsidR="00E80653">
        <w:rPr>
          <w:rFonts w:cs="Arial"/>
          <w:bCs/>
          <w:szCs w:val="24"/>
        </w:rPr>
        <w:t xml:space="preserve">the </w:t>
      </w:r>
      <w:r w:rsidR="00277B11">
        <w:rPr>
          <w:rFonts w:cs="Arial"/>
          <w:bCs/>
          <w:szCs w:val="24"/>
        </w:rPr>
        <w:t>interim Board meeting</w:t>
      </w:r>
      <w:r w:rsidR="00E80653">
        <w:rPr>
          <w:rFonts w:cs="Arial"/>
          <w:bCs/>
          <w:szCs w:val="24"/>
        </w:rPr>
        <w:t xml:space="preserve">, requirements to complete mandatory training, and attendance at </w:t>
      </w:r>
      <w:r w:rsidR="00AE6350">
        <w:rPr>
          <w:rFonts w:cs="Arial"/>
          <w:bCs/>
          <w:szCs w:val="24"/>
        </w:rPr>
        <w:t xml:space="preserve">a prominent event in Swansea. </w:t>
      </w:r>
      <w:r w:rsidR="00E80653">
        <w:rPr>
          <w:rFonts w:cs="Arial"/>
          <w:bCs/>
          <w:szCs w:val="24"/>
        </w:rPr>
        <w:t xml:space="preserve"> </w:t>
      </w:r>
    </w:p>
    <w:p w14:paraId="0492B842" w14:textId="5217BDDD" w:rsidR="00AE6350" w:rsidRDefault="001A6D78" w:rsidP="00375C1F">
      <w:pPr>
        <w:spacing w:after="240" w:line="240" w:lineRule="auto"/>
        <w:ind w:left="720" w:hanging="720"/>
        <w:rPr>
          <w:rFonts w:cs="Arial"/>
          <w:bCs/>
          <w:szCs w:val="24"/>
        </w:rPr>
      </w:pPr>
      <w:r>
        <w:t>4.2</w:t>
      </w:r>
      <w:r>
        <w:tab/>
      </w:r>
      <w:r w:rsidR="00AE6350">
        <w:t>T</w:t>
      </w:r>
      <w:r>
        <w:t xml:space="preserve">he Interim Chair </w:t>
      </w:r>
      <w:r w:rsidR="00B2551E">
        <w:t xml:space="preserve">noted that he </w:t>
      </w:r>
      <w:r w:rsidR="00AE6350">
        <w:t>was invited to speak at an event in Swansea in December</w:t>
      </w:r>
      <w:r w:rsidR="00B2551E">
        <w:t>, demonstrating the standing of the Commission in Wales. The event</w:t>
      </w:r>
      <w:r w:rsidR="00AE6350">
        <w:t xml:space="preserve"> </w:t>
      </w:r>
      <w:r w:rsidR="00B2551E">
        <w:t xml:space="preserve">marked Swansea’s intention to become </w:t>
      </w:r>
      <w:r w:rsidR="00B2551E">
        <w:rPr>
          <w:rFonts w:cs="Arial"/>
          <w:bCs/>
          <w:szCs w:val="24"/>
        </w:rPr>
        <w:t xml:space="preserve">Wales’ first Human Rights City. </w:t>
      </w:r>
      <w:r w:rsidR="00AE6350">
        <w:t>The Interim Chair met the First Minister and other local dignitaries at the event</w:t>
      </w:r>
      <w:r w:rsidR="00AE6350">
        <w:rPr>
          <w:rFonts w:cs="Arial"/>
          <w:bCs/>
          <w:szCs w:val="24"/>
        </w:rPr>
        <w:t xml:space="preserve">. </w:t>
      </w:r>
    </w:p>
    <w:p w14:paraId="583AEB2C" w14:textId="317419E2" w:rsidR="0030103A" w:rsidRDefault="00FB07B2" w:rsidP="00375C1F">
      <w:pPr>
        <w:spacing w:after="240" w:line="240" w:lineRule="auto"/>
        <w:ind w:left="720" w:hanging="720"/>
        <w:rPr>
          <w:rFonts w:cs="Arial"/>
          <w:bCs/>
          <w:szCs w:val="24"/>
        </w:rPr>
      </w:pPr>
      <w:r>
        <w:t>4.3</w:t>
      </w:r>
      <w:r w:rsidR="0030103A">
        <w:t xml:space="preserve"> </w:t>
      </w:r>
      <w:r w:rsidR="0030103A">
        <w:tab/>
      </w:r>
      <w:r w:rsidR="00277B11">
        <w:t xml:space="preserve">The Interim Chair </w:t>
      </w:r>
      <w:r w:rsidR="00277B11" w:rsidRPr="004F35D3">
        <w:rPr>
          <w:rFonts w:cs="Arial"/>
          <w:bCs/>
          <w:szCs w:val="24"/>
        </w:rPr>
        <w:t>requested comments by exception.</w:t>
      </w:r>
      <w:r w:rsidR="00277B11">
        <w:rPr>
          <w:rFonts w:cs="Arial"/>
          <w:bCs/>
          <w:szCs w:val="24"/>
        </w:rPr>
        <w:t xml:space="preserve"> </w:t>
      </w:r>
      <w:r w:rsidR="001A6D78">
        <w:rPr>
          <w:rFonts w:cs="Arial"/>
          <w:bCs/>
          <w:szCs w:val="24"/>
        </w:rPr>
        <w:t>No comments voiced</w:t>
      </w:r>
      <w:r w:rsidR="006D0F2E">
        <w:rPr>
          <w:rFonts w:cs="Arial"/>
          <w:bCs/>
          <w:szCs w:val="24"/>
        </w:rPr>
        <w:t xml:space="preserve"> by Committee members. </w:t>
      </w:r>
    </w:p>
    <w:p w14:paraId="69942065" w14:textId="224053A9" w:rsidR="006233A3" w:rsidRDefault="006233A3" w:rsidP="00375C1F">
      <w:pPr>
        <w:pStyle w:val="Heading2"/>
      </w:pPr>
      <w:bookmarkStart w:id="16" w:name="_Toc66435624"/>
      <w:bookmarkStart w:id="17" w:name="_Toc97902460"/>
      <w:r>
        <w:lastRenderedPageBreak/>
        <w:t xml:space="preserve">5. </w:t>
      </w:r>
      <w:bookmarkEnd w:id="16"/>
      <w:r w:rsidRPr="006233A3">
        <w:t>Strategic Plan and Business Planning 2022/23: Propos</w:t>
      </w:r>
      <w:r w:rsidR="00044531">
        <w:t xml:space="preserve">ed Workstreams (EHRC WC 60.04, </w:t>
      </w:r>
      <w:r w:rsidRPr="006233A3">
        <w:t>EHRC WC 60.04 Annex A, EHRC WC 60.04 Annex B, EHRC WC 60.04 Annex C, EHRC WC 60.04 Annex D)</w:t>
      </w:r>
      <w:bookmarkEnd w:id="17"/>
      <w:r w:rsidRPr="006233A3">
        <w:t xml:space="preserve"> </w:t>
      </w:r>
    </w:p>
    <w:p w14:paraId="447B180C" w14:textId="24D1D016" w:rsidR="006233A3" w:rsidRDefault="006233A3" w:rsidP="00375C1F">
      <w:pPr>
        <w:spacing w:after="240" w:line="240" w:lineRule="auto"/>
        <w:ind w:left="720" w:hanging="720"/>
      </w:pPr>
      <w:r>
        <w:t>5.1</w:t>
      </w:r>
      <w:r>
        <w:tab/>
      </w:r>
      <w:r w:rsidR="004C4AB1">
        <w:t>G</w:t>
      </w:r>
      <w:r w:rsidR="00420834">
        <w:t>B</w:t>
      </w:r>
      <w:r w:rsidR="004C4AB1">
        <w:t xml:space="preserve"> strategy team</w:t>
      </w:r>
      <w:r>
        <w:t xml:space="preserve"> updated the Wales Committee on the Commission’s Strategic Plan for 2022-2025, with a particular focus on Business Planning and proposed workstreams. Whilst the Commission’s strategic priori</w:t>
      </w:r>
      <w:r w:rsidR="002C6446">
        <w:t>ties have now been agreed, it was explained that there</w:t>
      </w:r>
      <w:r>
        <w:t xml:space="preserve"> is scope for revising proposed workstreams for the next three years. Ideas for specific project work are welcomed prior to the upcoming Board meeting in January 2022, during which decisions will be made about proposed workstreams. The Commission is keen to ensure capacity for responsive and agile work, as well as to justify all pieces of work undertaken. </w:t>
      </w:r>
    </w:p>
    <w:p w14:paraId="13405604" w14:textId="15D550DF" w:rsidR="007444B2" w:rsidRDefault="006233A3" w:rsidP="00375C1F">
      <w:pPr>
        <w:spacing w:line="240" w:lineRule="auto"/>
        <w:ind w:left="720" w:hanging="720"/>
      </w:pPr>
      <w:r>
        <w:t xml:space="preserve">5.2 </w:t>
      </w:r>
      <w:r>
        <w:tab/>
      </w:r>
      <w:r w:rsidR="007444B2">
        <w:t xml:space="preserve">The Wales Committee welcomed the opportunity to reflect on proposed workstreams under the Strategic Plan 2022-25. Despite work relating to poverty not being defined as a strategic priority, Wales Committee members recommended that the Commission strongly recognises that people across all protected characteristics in the UK are going to acutely </w:t>
      </w:r>
      <w:r w:rsidR="00420834">
        <w:t>experience</w:t>
      </w:r>
      <w:r w:rsidR="007444B2">
        <w:t xml:space="preserve"> socio-economic disadvantage in the short- to long-</w:t>
      </w:r>
      <w:r w:rsidR="002C6446">
        <w:t xml:space="preserve"> </w:t>
      </w:r>
      <w:r w:rsidR="007444B2">
        <w:t xml:space="preserve">term, including crises in standards of living, reliance on food banks and the rising cost of living. </w:t>
      </w:r>
    </w:p>
    <w:p w14:paraId="038DC30E" w14:textId="752722B1" w:rsidR="007444B2" w:rsidRDefault="006233A3" w:rsidP="00375C1F">
      <w:pPr>
        <w:spacing w:line="240" w:lineRule="auto"/>
        <w:ind w:left="720" w:hanging="720"/>
      </w:pPr>
      <w:r>
        <w:t xml:space="preserve">5.3 </w:t>
      </w:r>
      <w:r>
        <w:tab/>
      </w:r>
      <w:r w:rsidR="007444B2" w:rsidRPr="00DA51D2">
        <w:rPr>
          <w:i/>
        </w:rPr>
        <w:t>Senior Principal, Strategy</w:t>
      </w:r>
      <w:r w:rsidR="007444B2">
        <w:t xml:space="preserve"> noted that the Commission currently uses </w:t>
      </w:r>
      <w:r w:rsidR="002D3C00">
        <w:t xml:space="preserve">a </w:t>
      </w:r>
      <w:r w:rsidR="007444B2">
        <w:t>socio-</w:t>
      </w:r>
      <w:r w:rsidR="002D3C00">
        <w:t xml:space="preserve">economic lens </w:t>
      </w:r>
      <w:r w:rsidR="007444B2">
        <w:t xml:space="preserve">alongside protected characteristics to shape its work, for example relating to attainment gaps and future work places. In response, Wales Committee members queried whether the Commission would be willing to publicly state: ‘In all our work, we look at socio-economic </w:t>
      </w:r>
      <w:proofErr w:type="gramStart"/>
      <w:r w:rsidR="007444B2">
        <w:t>status’</w:t>
      </w:r>
      <w:proofErr w:type="gramEnd"/>
      <w:r w:rsidR="007444B2">
        <w:t xml:space="preserve">. </w:t>
      </w:r>
      <w:r w:rsidR="007444B2" w:rsidRPr="00DA51D2">
        <w:rPr>
          <w:i/>
        </w:rPr>
        <w:t>Director, Evidence and Strategy</w:t>
      </w:r>
      <w:r w:rsidR="007444B2">
        <w:t xml:space="preserve"> assured the Wales Committee that this would be picked up during decision-making discussions about how the business plan is ultimately framed and strategies for engaging with external stakeholders. </w:t>
      </w:r>
    </w:p>
    <w:p w14:paraId="19861ADC" w14:textId="77777777" w:rsidR="007444B2" w:rsidRDefault="006233A3" w:rsidP="00375C1F">
      <w:pPr>
        <w:spacing w:line="240" w:lineRule="auto"/>
        <w:ind w:left="720" w:hanging="720"/>
      </w:pPr>
      <w:r>
        <w:t xml:space="preserve">5.4 </w:t>
      </w:r>
      <w:r>
        <w:tab/>
      </w:r>
      <w:r w:rsidR="007444B2">
        <w:t xml:space="preserve">The Wales Committee queried whether some of the projects under ‘Fairness in a Changing Workplace’ could be broadened to include the impact of precarious contracts and carers’ responsibilities, and related impacts on in-work poverty. Committee members also pointed to existing divergences in terms of pay gap reporting in England and Wales. </w:t>
      </w:r>
    </w:p>
    <w:p w14:paraId="50F6731A" w14:textId="7B7FD898" w:rsidR="006233A3" w:rsidRDefault="006233A3" w:rsidP="00080AFB">
      <w:pPr>
        <w:spacing w:after="240" w:line="240" w:lineRule="auto"/>
        <w:jc w:val="both"/>
      </w:pPr>
    </w:p>
    <w:p w14:paraId="4BE6C0C2" w14:textId="7FCCA7C3" w:rsidR="007444B2" w:rsidRDefault="007444B2" w:rsidP="00375C1F">
      <w:pPr>
        <w:spacing w:line="240" w:lineRule="auto"/>
        <w:ind w:left="720" w:hanging="720"/>
      </w:pPr>
      <w:r>
        <w:lastRenderedPageBreak/>
        <w:t>5.5</w:t>
      </w:r>
      <w:r w:rsidR="006233A3">
        <w:t xml:space="preserve"> </w:t>
      </w:r>
      <w:r w:rsidR="006233A3">
        <w:tab/>
      </w:r>
      <w:r>
        <w:t>Wales Committee members expressed strong support for work relating to digital inclusion, particularly where such work supp</w:t>
      </w:r>
      <w:r w:rsidR="00B42921">
        <w:t xml:space="preserve">orts accessing public services. </w:t>
      </w:r>
      <w:r>
        <w:t>It was acknowledged that some individuals are digitally disenfranchised and disadvantaged</w:t>
      </w:r>
      <w:r w:rsidR="000449C8">
        <w:t>/excluded.</w:t>
      </w:r>
      <w:r>
        <w:t xml:space="preserve"> Committee members were able to provide tangible examples of the overlap between social exclusion and lack of high speed internet. The </w:t>
      </w:r>
      <w:r>
        <w:rPr>
          <w:i/>
        </w:rPr>
        <w:t xml:space="preserve">Interim Chair </w:t>
      </w:r>
      <w:r>
        <w:t xml:space="preserve">noted that while there is awareness of the impact of digital exclusion on older and disabled people, we are yet to see the full implications of digital exclusion beyond the pandemic and on areas such as education. Similarly, whilst it would appear that hybrid working has been implemented smoothly, it is possible that moving support services online has exacerbated social exclusion. It is therefore important that the Wales Committee are highlighting digital exclusion as a potential societal issue in the future. </w:t>
      </w:r>
    </w:p>
    <w:p w14:paraId="0F123362" w14:textId="06F99110" w:rsidR="006233A3" w:rsidRDefault="009F2F8B" w:rsidP="00375C1F">
      <w:pPr>
        <w:spacing w:after="240" w:line="240" w:lineRule="auto"/>
        <w:ind w:left="720" w:hanging="720"/>
      </w:pPr>
      <w:r>
        <w:t>5.6</w:t>
      </w:r>
      <w:r w:rsidR="006233A3">
        <w:t xml:space="preserve"> </w:t>
      </w:r>
      <w:r w:rsidR="006233A3">
        <w:tab/>
      </w:r>
      <w:r w:rsidR="006233A3" w:rsidRPr="002C5D5F">
        <w:rPr>
          <w:i/>
        </w:rPr>
        <w:t>Head of Wales</w:t>
      </w:r>
      <w:r w:rsidR="006233A3">
        <w:t xml:space="preserve"> asked the Committee whether they are interested in seeing the effects of the extension of the free childcare offer to two year olds in Wales. In response, members confirmed their interest. </w:t>
      </w:r>
    </w:p>
    <w:p w14:paraId="57974813" w14:textId="0C56FCE5" w:rsidR="006233A3" w:rsidRPr="006233A3" w:rsidRDefault="006233A3" w:rsidP="00375C1F">
      <w:pPr>
        <w:spacing w:after="240" w:line="240" w:lineRule="auto"/>
        <w:rPr>
          <w:b/>
        </w:rPr>
      </w:pPr>
      <w:r w:rsidRPr="006233A3">
        <w:rPr>
          <w:b/>
        </w:rPr>
        <w:t>Action</w:t>
      </w:r>
      <w:r w:rsidR="009D646A">
        <w:rPr>
          <w:b/>
        </w:rPr>
        <w:t xml:space="preserve"> A</w:t>
      </w:r>
      <w:r w:rsidRPr="006233A3">
        <w:rPr>
          <w:b/>
        </w:rPr>
        <w:t xml:space="preserve">: Head of Wales to consider </w:t>
      </w:r>
      <w:r w:rsidR="000449C8">
        <w:rPr>
          <w:b/>
        </w:rPr>
        <w:t>the feasibility of a business plan activity</w:t>
      </w:r>
      <w:r w:rsidRPr="006233A3">
        <w:rPr>
          <w:b/>
        </w:rPr>
        <w:t xml:space="preserve"> exploring the effects of the extension of free childcare to two year olds in Wales. </w:t>
      </w:r>
    </w:p>
    <w:p w14:paraId="7204BF05" w14:textId="5E106961" w:rsidR="006233A3" w:rsidRDefault="009F2F8B" w:rsidP="00375C1F">
      <w:pPr>
        <w:spacing w:after="240" w:line="240" w:lineRule="auto"/>
        <w:ind w:left="720" w:hanging="720"/>
      </w:pPr>
      <w:r>
        <w:t>5.7</w:t>
      </w:r>
      <w:r w:rsidR="006233A3">
        <w:t xml:space="preserve"> </w:t>
      </w:r>
      <w:r w:rsidR="006233A3">
        <w:tab/>
      </w:r>
      <w:r w:rsidR="006233A3" w:rsidRPr="00B62AD8">
        <w:rPr>
          <w:i/>
        </w:rPr>
        <w:t>Senior Principal, Strategy</w:t>
      </w:r>
      <w:r w:rsidR="006233A3">
        <w:t xml:space="preserve"> thanked the Wales Commit</w:t>
      </w:r>
      <w:r w:rsidR="00B62AD8">
        <w:t>tee for their input and welcomed</w:t>
      </w:r>
      <w:r w:rsidR="006233A3">
        <w:t xml:space="preserve"> further feedback on workstreams via email. </w:t>
      </w:r>
    </w:p>
    <w:p w14:paraId="00D64DBE" w14:textId="2F6393AB" w:rsidR="006233A3" w:rsidRDefault="006233A3" w:rsidP="00375C1F">
      <w:pPr>
        <w:spacing w:line="240" w:lineRule="auto"/>
        <w:ind w:left="720" w:hanging="720"/>
      </w:pPr>
      <w:r>
        <w:t>5.</w:t>
      </w:r>
      <w:r w:rsidR="009F2F8B">
        <w:t>8</w:t>
      </w:r>
      <w:r>
        <w:t xml:space="preserve"> </w:t>
      </w:r>
      <w:r>
        <w:tab/>
      </w:r>
      <w:r w:rsidR="007444B2">
        <w:rPr>
          <w:i/>
        </w:rPr>
        <w:t xml:space="preserve">Head of Wales </w:t>
      </w:r>
      <w:r w:rsidR="00B62AD8">
        <w:t>welcomed</w:t>
      </w:r>
      <w:r w:rsidR="007444B2">
        <w:t xml:space="preserve"> </w:t>
      </w:r>
      <w:r w:rsidR="00B62AD8">
        <w:t xml:space="preserve">Commission </w:t>
      </w:r>
      <w:r w:rsidR="007444B2">
        <w:t xml:space="preserve">plans to explore the experiences of older workers, particularly because older women from ethnic minority backgrounds are often acutely disadvantaged. It is therefore vital that the Commission keeps intersectionality at the fore during all levels of planning. </w:t>
      </w:r>
    </w:p>
    <w:p w14:paraId="4E11C1B3" w14:textId="16C9EE3F" w:rsidR="006233A3" w:rsidRDefault="006233A3" w:rsidP="00375C1F">
      <w:pPr>
        <w:spacing w:after="240" w:line="240" w:lineRule="auto"/>
        <w:ind w:left="720" w:hanging="720"/>
      </w:pPr>
      <w:r>
        <w:t>5.</w:t>
      </w:r>
      <w:r w:rsidR="00B62AD8">
        <w:t>9</w:t>
      </w:r>
      <w:r>
        <w:t xml:space="preserve"> </w:t>
      </w:r>
      <w:r>
        <w:tab/>
        <w:t xml:space="preserve">The </w:t>
      </w:r>
      <w:r w:rsidRPr="00B62AD8">
        <w:rPr>
          <w:i/>
        </w:rPr>
        <w:t>Interim Chair</w:t>
      </w:r>
      <w:r>
        <w:t xml:space="preserve"> offered thanks to </w:t>
      </w:r>
      <w:r w:rsidRPr="00B62AD8">
        <w:rPr>
          <w:i/>
        </w:rPr>
        <w:t>Senior Principal, Strategy</w:t>
      </w:r>
      <w:r>
        <w:t xml:space="preserve"> and </w:t>
      </w:r>
      <w:r w:rsidRPr="00B62AD8">
        <w:rPr>
          <w:i/>
        </w:rPr>
        <w:t>Director, Evidence and Strategy</w:t>
      </w:r>
      <w:r>
        <w:t xml:space="preserve"> for their paper and reiterated that the Wales Committee are keen to contribute to the delivery of the Strategic Plan and workstreams, as well as play their part in translating work plans into the devolved context in Wales.</w:t>
      </w:r>
    </w:p>
    <w:p w14:paraId="15BFE937" w14:textId="77CA5E64" w:rsidR="003E2F4C" w:rsidRDefault="00B315C8" w:rsidP="00375C1F">
      <w:pPr>
        <w:pStyle w:val="Heading2"/>
      </w:pPr>
      <w:bookmarkStart w:id="18" w:name="_Toc97902461"/>
      <w:r>
        <w:t>6</w:t>
      </w:r>
      <w:r w:rsidR="003E2F4C">
        <w:t xml:space="preserve">. </w:t>
      </w:r>
      <w:r w:rsidRPr="00B315C8">
        <w:t>Advancing equality of opportunity through investment decisions (EHRC WC 60.05)</w:t>
      </w:r>
      <w:bookmarkEnd w:id="18"/>
    </w:p>
    <w:p w14:paraId="7E62A3DD" w14:textId="1C38BA45" w:rsidR="003E2F4C" w:rsidRDefault="00B315C8" w:rsidP="00375C1F">
      <w:pPr>
        <w:spacing w:line="240" w:lineRule="auto"/>
        <w:ind w:left="720" w:hanging="720"/>
        <w:rPr>
          <w:rFonts w:cs="Arial"/>
          <w:szCs w:val="24"/>
        </w:rPr>
      </w:pPr>
      <w:r>
        <w:rPr>
          <w:rFonts w:cs="Arial"/>
          <w:szCs w:val="24"/>
        </w:rPr>
        <w:t>6</w:t>
      </w:r>
      <w:r w:rsidR="003E2F4C">
        <w:rPr>
          <w:rFonts w:cs="Arial"/>
          <w:szCs w:val="24"/>
        </w:rPr>
        <w:t xml:space="preserve">.1 </w:t>
      </w:r>
      <w:r w:rsidR="003E2F4C">
        <w:rPr>
          <w:rFonts w:cs="Arial"/>
          <w:szCs w:val="24"/>
        </w:rPr>
        <w:tab/>
      </w:r>
      <w:r w:rsidR="00E86D26">
        <w:rPr>
          <w:rFonts w:cs="Arial"/>
          <w:szCs w:val="24"/>
        </w:rPr>
        <w:t>The Wales Committee wer</w:t>
      </w:r>
      <w:r w:rsidR="00BE6A2C">
        <w:rPr>
          <w:rFonts w:cs="Arial"/>
          <w:szCs w:val="24"/>
        </w:rPr>
        <w:t>e provided with an update on a special p</w:t>
      </w:r>
      <w:r w:rsidR="00E86D26">
        <w:rPr>
          <w:rFonts w:cs="Arial"/>
          <w:szCs w:val="24"/>
        </w:rPr>
        <w:t xml:space="preserve">roject currently being undertaken in the Wales team by a </w:t>
      </w:r>
      <w:r w:rsidR="00E86D26" w:rsidRPr="00660E9E">
        <w:rPr>
          <w:rFonts w:cs="Arial"/>
          <w:szCs w:val="24"/>
        </w:rPr>
        <w:t>Principal</w:t>
      </w:r>
      <w:r w:rsidR="00E86D26">
        <w:rPr>
          <w:rFonts w:cs="Arial"/>
          <w:szCs w:val="24"/>
        </w:rPr>
        <w:t xml:space="preserve"> member of staff on Secondment to the Wales team (</w:t>
      </w:r>
      <w:r w:rsidR="00FA275E">
        <w:rPr>
          <w:rFonts w:cs="Arial"/>
          <w:i/>
          <w:szCs w:val="24"/>
        </w:rPr>
        <w:t>Principal</w:t>
      </w:r>
      <w:r w:rsidR="00E86D26">
        <w:rPr>
          <w:rFonts w:cs="Arial"/>
          <w:i/>
          <w:szCs w:val="24"/>
        </w:rPr>
        <w:t xml:space="preserve">, </w:t>
      </w:r>
      <w:r w:rsidR="00FA275E">
        <w:rPr>
          <w:rFonts w:cs="Arial"/>
          <w:i/>
          <w:szCs w:val="24"/>
        </w:rPr>
        <w:t>Special Projects</w:t>
      </w:r>
      <w:r w:rsidR="00E86D26">
        <w:rPr>
          <w:rFonts w:cs="Arial"/>
          <w:i/>
          <w:szCs w:val="24"/>
        </w:rPr>
        <w:t>)</w:t>
      </w:r>
      <w:r w:rsidR="00E86D26">
        <w:rPr>
          <w:rFonts w:cs="Arial"/>
          <w:szCs w:val="24"/>
        </w:rPr>
        <w:t>. This project focuses on a</w:t>
      </w:r>
      <w:r w:rsidR="00E86D26" w:rsidRPr="00E86D26">
        <w:rPr>
          <w:rFonts w:cs="Arial"/>
          <w:szCs w:val="24"/>
        </w:rPr>
        <w:t>dvancing equality of opportunity through investment decisions</w:t>
      </w:r>
      <w:r w:rsidR="00E86D26">
        <w:rPr>
          <w:rFonts w:cs="Arial"/>
          <w:szCs w:val="24"/>
        </w:rPr>
        <w:t xml:space="preserve">. </w:t>
      </w:r>
    </w:p>
    <w:p w14:paraId="70BB2A0A" w14:textId="6918FC6A" w:rsidR="00E86D26" w:rsidRPr="00E86D26" w:rsidRDefault="00B315C8" w:rsidP="00375C1F">
      <w:pPr>
        <w:spacing w:line="240" w:lineRule="auto"/>
        <w:ind w:left="720" w:hanging="720"/>
        <w:rPr>
          <w:rFonts w:cstheme="minorHAnsi"/>
          <w:szCs w:val="24"/>
        </w:rPr>
      </w:pPr>
      <w:r>
        <w:rPr>
          <w:rFonts w:cs="Arial"/>
          <w:szCs w:val="24"/>
        </w:rPr>
        <w:lastRenderedPageBreak/>
        <w:t>6</w:t>
      </w:r>
      <w:r w:rsidR="003E2F4C">
        <w:rPr>
          <w:rFonts w:cs="Arial"/>
          <w:szCs w:val="24"/>
        </w:rPr>
        <w:t xml:space="preserve">.2 </w:t>
      </w:r>
      <w:r w:rsidR="003E2F4C">
        <w:rPr>
          <w:rFonts w:cs="Arial"/>
          <w:szCs w:val="24"/>
        </w:rPr>
        <w:tab/>
      </w:r>
      <w:r w:rsidR="00225CF8">
        <w:rPr>
          <w:rFonts w:cstheme="minorHAnsi"/>
          <w:szCs w:val="24"/>
        </w:rPr>
        <w:t>In</w:t>
      </w:r>
      <w:r w:rsidR="00E86D26" w:rsidRPr="00E86D26">
        <w:rPr>
          <w:rFonts w:cstheme="minorHAnsi"/>
          <w:szCs w:val="24"/>
        </w:rPr>
        <w:t xml:space="preserve"> response to </w:t>
      </w:r>
      <w:r w:rsidR="00225CF8">
        <w:rPr>
          <w:rFonts w:cstheme="minorHAnsi"/>
          <w:szCs w:val="24"/>
        </w:rPr>
        <w:t xml:space="preserve">previous </w:t>
      </w:r>
      <w:r w:rsidR="00E86D26" w:rsidRPr="00E86D26">
        <w:rPr>
          <w:rFonts w:cstheme="minorHAnsi"/>
          <w:szCs w:val="24"/>
        </w:rPr>
        <w:t>Wales Committee concerns about economic recovery and youth unemployment, the Wales Team have developed a work stream which focuses on equality and economic development. The specif</w:t>
      </w:r>
      <w:r w:rsidR="00365586">
        <w:rPr>
          <w:rFonts w:cstheme="minorHAnsi"/>
          <w:szCs w:val="24"/>
        </w:rPr>
        <w:t>ic focus of the work is on the Four</w:t>
      </w:r>
      <w:r w:rsidR="00E86D26" w:rsidRPr="00E86D26">
        <w:rPr>
          <w:rFonts w:cstheme="minorHAnsi"/>
          <w:szCs w:val="24"/>
        </w:rPr>
        <w:t xml:space="preserve"> Growth Deals in Wales which together will total £3.75bn and promise to create 40k jobs. </w:t>
      </w:r>
      <w:r w:rsidR="00F21C9A">
        <w:rPr>
          <w:rFonts w:cstheme="minorHAnsi"/>
          <w:szCs w:val="24"/>
        </w:rPr>
        <w:t>The work engages both the Socio-</w:t>
      </w:r>
      <w:r w:rsidR="00E86D26" w:rsidRPr="00E86D26">
        <w:rPr>
          <w:rFonts w:cstheme="minorHAnsi"/>
          <w:szCs w:val="24"/>
        </w:rPr>
        <w:t xml:space="preserve">Economic Duty </w:t>
      </w:r>
      <w:r w:rsidR="00A62923">
        <w:rPr>
          <w:rFonts w:cstheme="minorHAnsi"/>
          <w:szCs w:val="24"/>
        </w:rPr>
        <w:t xml:space="preserve">(SED) </w:t>
      </w:r>
      <w:r w:rsidR="00E86D26" w:rsidRPr="00E86D26">
        <w:rPr>
          <w:rFonts w:cstheme="minorHAnsi"/>
          <w:szCs w:val="24"/>
        </w:rPr>
        <w:t>and the PSED. It aims to ensure that women, disabled people, ethnic mi</w:t>
      </w:r>
      <w:r w:rsidR="0085168A">
        <w:rPr>
          <w:rFonts w:cstheme="minorHAnsi"/>
          <w:szCs w:val="24"/>
        </w:rPr>
        <w:t>norities and people from Wales’</w:t>
      </w:r>
      <w:r w:rsidR="00E86D26" w:rsidRPr="00E86D26">
        <w:rPr>
          <w:rFonts w:cstheme="minorHAnsi"/>
          <w:szCs w:val="24"/>
        </w:rPr>
        <w:t xml:space="preserve"> most deprived communities benefit from these investments. The principles of this work can be applied to other forms of investment and economic development such as Levelling Up. </w:t>
      </w:r>
    </w:p>
    <w:p w14:paraId="5F128B34" w14:textId="484A705E" w:rsidR="00E86D26" w:rsidRPr="00E86D26" w:rsidRDefault="00E86D26" w:rsidP="00375C1F">
      <w:pPr>
        <w:spacing w:line="240" w:lineRule="auto"/>
        <w:ind w:left="720" w:hanging="720"/>
        <w:rPr>
          <w:rFonts w:cstheme="minorHAnsi"/>
          <w:szCs w:val="24"/>
        </w:rPr>
      </w:pPr>
      <w:r>
        <w:rPr>
          <w:rFonts w:cstheme="minorHAnsi"/>
          <w:szCs w:val="24"/>
        </w:rPr>
        <w:t xml:space="preserve">6.3 </w:t>
      </w:r>
      <w:r>
        <w:rPr>
          <w:rFonts w:cstheme="minorHAnsi"/>
          <w:szCs w:val="24"/>
        </w:rPr>
        <w:tab/>
      </w:r>
      <w:r w:rsidRPr="00E86D26">
        <w:rPr>
          <w:rFonts w:cstheme="minorHAnsi"/>
          <w:szCs w:val="24"/>
        </w:rPr>
        <w:t xml:space="preserve">The Deals have a strong focus on infrastructure and new technology. There is a danger that without </w:t>
      </w:r>
      <w:r w:rsidR="00225CF8">
        <w:rPr>
          <w:rFonts w:cstheme="minorHAnsi"/>
          <w:szCs w:val="24"/>
        </w:rPr>
        <w:t xml:space="preserve">our </w:t>
      </w:r>
      <w:r w:rsidRPr="00E86D26">
        <w:rPr>
          <w:rFonts w:cstheme="minorHAnsi"/>
          <w:szCs w:val="24"/>
        </w:rPr>
        <w:t>intervention the Deals will replicate the same inequalities present in current sectors in relation to women, lower-skilled workers and ethnic minority workers, rather than be</w:t>
      </w:r>
      <w:r w:rsidR="0085168A">
        <w:rPr>
          <w:rFonts w:cstheme="minorHAnsi"/>
          <w:szCs w:val="24"/>
        </w:rPr>
        <w:t xml:space="preserve">ing a </w:t>
      </w:r>
      <w:r w:rsidRPr="00E86D26">
        <w:rPr>
          <w:rFonts w:cstheme="minorHAnsi"/>
          <w:szCs w:val="24"/>
        </w:rPr>
        <w:t xml:space="preserve">transformative force for better, fairer, more accessible work. </w:t>
      </w:r>
    </w:p>
    <w:p w14:paraId="005E4255" w14:textId="6D79E848" w:rsidR="00E86D26" w:rsidRPr="00E86D26" w:rsidRDefault="00E86D26" w:rsidP="00375C1F">
      <w:pPr>
        <w:spacing w:line="240" w:lineRule="auto"/>
        <w:ind w:left="720" w:hanging="720"/>
        <w:rPr>
          <w:rFonts w:cstheme="minorHAnsi"/>
          <w:szCs w:val="24"/>
        </w:rPr>
      </w:pPr>
      <w:r>
        <w:rPr>
          <w:rFonts w:cstheme="minorHAnsi"/>
          <w:szCs w:val="24"/>
        </w:rPr>
        <w:t xml:space="preserve">6.4 </w:t>
      </w:r>
      <w:r>
        <w:rPr>
          <w:rFonts w:cstheme="minorHAnsi"/>
          <w:szCs w:val="24"/>
        </w:rPr>
        <w:tab/>
      </w:r>
      <w:r w:rsidRPr="00E86D26">
        <w:rPr>
          <w:rFonts w:cstheme="minorHAnsi"/>
          <w:szCs w:val="24"/>
        </w:rPr>
        <w:t>The Commission is working with the three largest deals in Wales to support them in incorporating in/equality outcomes in busi</w:t>
      </w:r>
      <w:r w:rsidR="00365586">
        <w:rPr>
          <w:rFonts w:cstheme="minorHAnsi"/>
          <w:szCs w:val="24"/>
        </w:rPr>
        <w:t>ness cases and learning</w:t>
      </w:r>
      <w:r w:rsidRPr="00E86D26">
        <w:rPr>
          <w:rFonts w:cstheme="minorHAnsi"/>
          <w:szCs w:val="24"/>
        </w:rPr>
        <w:t xml:space="preserve"> how to cond</w:t>
      </w:r>
      <w:r w:rsidR="00365586">
        <w:rPr>
          <w:rFonts w:cstheme="minorHAnsi"/>
          <w:szCs w:val="24"/>
        </w:rPr>
        <w:t>uct Equality Impact Assessments. The Commission is also</w:t>
      </w:r>
      <w:r w:rsidRPr="00E86D26">
        <w:rPr>
          <w:rFonts w:cstheme="minorHAnsi"/>
          <w:szCs w:val="24"/>
        </w:rPr>
        <w:t xml:space="preserve"> providing ad</w:t>
      </w:r>
      <w:r w:rsidR="00365586">
        <w:rPr>
          <w:rFonts w:cstheme="minorHAnsi"/>
          <w:szCs w:val="24"/>
        </w:rPr>
        <w:t>vice on sustainable procurement,</w:t>
      </w:r>
      <w:r w:rsidRPr="00E86D26">
        <w:rPr>
          <w:rFonts w:cstheme="minorHAnsi"/>
          <w:szCs w:val="24"/>
        </w:rPr>
        <w:t xml:space="preserve"> measurement and benefits realisation.</w:t>
      </w:r>
    </w:p>
    <w:p w14:paraId="4600D0CD" w14:textId="6EA7DAA1" w:rsidR="00B71312" w:rsidRDefault="00B315C8" w:rsidP="00375C1F">
      <w:pPr>
        <w:spacing w:line="240" w:lineRule="auto"/>
        <w:ind w:left="720" w:hanging="720"/>
        <w:rPr>
          <w:rFonts w:cs="Arial"/>
          <w:szCs w:val="24"/>
        </w:rPr>
      </w:pPr>
      <w:r>
        <w:rPr>
          <w:rFonts w:cs="Arial"/>
          <w:szCs w:val="24"/>
        </w:rPr>
        <w:t>6</w:t>
      </w:r>
      <w:r w:rsidR="00E86D26">
        <w:rPr>
          <w:rFonts w:cs="Arial"/>
          <w:szCs w:val="24"/>
        </w:rPr>
        <w:t>.5</w:t>
      </w:r>
      <w:r w:rsidR="00E86D26">
        <w:rPr>
          <w:rFonts w:cs="Arial"/>
          <w:szCs w:val="24"/>
        </w:rPr>
        <w:tab/>
      </w:r>
      <w:r w:rsidR="00FD2154">
        <w:rPr>
          <w:rFonts w:cs="Arial"/>
          <w:szCs w:val="24"/>
        </w:rPr>
        <w:t xml:space="preserve">The </w:t>
      </w:r>
      <w:r w:rsidR="00FD2154" w:rsidRPr="00F84290">
        <w:rPr>
          <w:rFonts w:cs="Arial"/>
          <w:i/>
          <w:szCs w:val="24"/>
        </w:rPr>
        <w:t>Interim Chair</w:t>
      </w:r>
      <w:r w:rsidR="00FD2154">
        <w:rPr>
          <w:rFonts w:cs="Arial"/>
          <w:szCs w:val="24"/>
        </w:rPr>
        <w:t xml:space="preserve"> offered thanks for the paper and invited questions from the Wales Committee.  </w:t>
      </w:r>
    </w:p>
    <w:p w14:paraId="045AF481" w14:textId="54DED369" w:rsidR="00F21C9A" w:rsidRDefault="00FD2154" w:rsidP="00375C1F">
      <w:pPr>
        <w:spacing w:line="240" w:lineRule="auto"/>
        <w:ind w:left="720" w:hanging="720"/>
        <w:rPr>
          <w:color w:val="000000" w:themeColor="text1"/>
        </w:rPr>
      </w:pPr>
      <w:r>
        <w:rPr>
          <w:rFonts w:cs="Arial"/>
          <w:szCs w:val="24"/>
        </w:rPr>
        <w:t>6.6</w:t>
      </w:r>
      <w:r w:rsidR="00F84290">
        <w:rPr>
          <w:rFonts w:cs="Arial"/>
          <w:szCs w:val="24"/>
        </w:rPr>
        <w:tab/>
        <w:t>A Committee member agreed</w:t>
      </w:r>
      <w:r w:rsidR="00C96F36">
        <w:rPr>
          <w:rFonts w:cs="Arial"/>
          <w:szCs w:val="24"/>
        </w:rPr>
        <w:t xml:space="preserve"> that</w:t>
      </w:r>
      <w:r w:rsidR="00F21C9A">
        <w:rPr>
          <w:rFonts w:cs="Arial"/>
          <w:szCs w:val="24"/>
        </w:rPr>
        <w:t xml:space="preserve"> the Deals are </w:t>
      </w:r>
      <w:r w:rsidR="00C96F36">
        <w:rPr>
          <w:color w:val="000000" w:themeColor="text1"/>
        </w:rPr>
        <w:t>repeating the past</w:t>
      </w:r>
      <w:r w:rsidR="00F21C9A">
        <w:rPr>
          <w:color w:val="000000" w:themeColor="text1"/>
        </w:rPr>
        <w:t xml:space="preserve">, rather than being </w:t>
      </w:r>
      <w:r w:rsidR="00F84290">
        <w:rPr>
          <w:color w:val="000000" w:themeColor="text1"/>
        </w:rPr>
        <w:t xml:space="preserve">future-proofed </w:t>
      </w:r>
      <w:r w:rsidR="00C96F36">
        <w:rPr>
          <w:color w:val="000000" w:themeColor="text1"/>
        </w:rPr>
        <w:t>or considering the</w:t>
      </w:r>
      <w:r w:rsidR="00F21C9A">
        <w:rPr>
          <w:color w:val="000000" w:themeColor="text1"/>
        </w:rPr>
        <w:t xml:space="preserve"> </w:t>
      </w:r>
      <w:r w:rsidR="00A62923">
        <w:rPr>
          <w:color w:val="000000" w:themeColor="text1"/>
        </w:rPr>
        <w:t>SED</w:t>
      </w:r>
      <w:r w:rsidR="00F84290">
        <w:rPr>
          <w:color w:val="000000" w:themeColor="text1"/>
        </w:rPr>
        <w:t xml:space="preserve"> and </w:t>
      </w:r>
      <w:r w:rsidR="00C96F36">
        <w:rPr>
          <w:color w:val="000000" w:themeColor="text1"/>
        </w:rPr>
        <w:t>other aspects of equality. This</w:t>
      </w:r>
      <w:r w:rsidR="00433B81">
        <w:rPr>
          <w:color w:val="000000" w:themeColor="text1"/>
        </w:rPr>
        <w:t xml:space="preserve"> procurement</w:t>
      </w:r>
      <w:r w:rsidR="00C96F36">
        <w:rPr>
          <w:color w:val="000000" w:themeColor="text1"/>
        </w:rPr>
        <w:t xml:space="preserve"> work is also important because it enables the Commission to gauge the influence it has and the levers it can use to influence the outcomes of deals. The question for everyone is – how do we make sure </w:t>
      </w:r>
      <w:r w:rsidR="00F21C9A">
        <w:rPr>
          <w:color w:val="000000" w:themeColor="text1"/>
        </w:rPr>
        <w:t>we can ge</w:t>
      </w:r>
      <w:r w:rsidR="00C96F36">
        <w:rPr>
          <w:color w:val="000000" w:themeColor="text1"/>
        </w:rPr>
        <w:t>t a shift in thinking from the City D</w:t>
      </w:r>
      <w:r w:rsidR="00F21C9A">
        <w:rPr>
          <w:color w:val="000000" w:themeColor="text1"/>
        </w:rPr>
        <w:t xml:space="preserve">eals? </w:t>
      </w:r>
    </w:p>
    <w:p w14:paraId="71E09D4C" w14:textId="7DD8C612" w:rsidR="00A62923" w:rsidRDefault="00A62923" w:rsidP="00375C1F">
      <w:pPr>
        <w:spacing w:line="240" w:lineRule="auto"/>
        <w:ind w:left="720" w:hanging="720"/>
        <w:rPr>
          <w:color w:val="000000" w:themeColor="text1"/>
        </w:rPr>
      </w:pPr>
      <w:r>
        <w:rPr>
          <w:rFonts w:cs="Arial"/>
          <w:szCs w:val="24"/>
        </w:rPr>
        <w:t xml:space="preserve">6.7 </w:t>
      </w:r>
      <w:r>
        <w:rPr>
          <w:rFonts w:cs="Arial"/>
          <w:szCs w:val="24"/>
        </w:rPr>
        <w:tab/>
      </w:r>
      <w:r>
        <w:rPr>
          <w:color w:val="000000" w:themeColor="text1"/>
        </w:rPr>
        <w:t xml:space="preserve">A Committee member highlighted the importance of </w:t>
      </w:r>
      <w:r w:rsidR="00B71312">
        <w:rPr>
          <w:color w:val="000000" w:themeColor="text1"/>
        </w:rPr>
        <w:t>start</w:t>
      </w:r>
      <w:r>
        <w:rPr>
          <w:color w:val="000000" w:themeColor="text1"/>
        </w:rPr>
        <w:t>ing</w:t>
      </w:r>
      <w:r w:rsidR="00B71312">
        <w:rPr>
          <w:color w:val="000000" w:themeColor="text1"/>
        </w:rPr>
        <w:t xml:space="preserve"> with </w:t>
      </w:r>
      <w:r>
        <w:rPr>
          <w:color w:val="000000" w:themeColor="text1"/>
        </w:rPr>
        <w:t>a clear understanding of the Commission’s</w:t>
      </w:r>
      <w:r w:rsidR="00B71312">
        <w:rPr>
          <w:color w:val="000000" w:themeColor="text1"/>
        </w:rPr>
        <w:t xml:space="preserve"> influence and </w:t>
      </w:r>
      <w:r>
        <w:rPr>
          <w:color w:val="000000" w:themeColor="text1"/>
        </w:rPr>
        <w:t>capacity</w:t>
      </w:r>
      <w:r w:rsidR="00B71312">
        <w:rPr>
          <w:color w:val="000000" w:themeColor="text1"/>
        </w:rPr>
        <w:t xml:space="preserve"> in this</w:t>
      </w:r>
      <w:r>
        <w:rPr>
          <w:color w:val="000000" w:themeColor="text1"/>
        </w:rPr>
        <w:t xml:space="preserve"> area of work. For example, as part of these Deal plans there has been some discussion of making things</w:t>
      </w:r>
      <w:r w:rsidR="00534932">
        <w:rPr>
          <w:color w:val="000000" w:themeColor="text1"/>
        </w:rPr>
        <w:t xml:space="preserve"> accessible </w:t>
      </w:r>
      <w:r w:rsidR="00B71312">
        <w:rPr>
          <w:color w:val="000000" w:themeColor="text1"/>
        </w:rPr>
        <w:t>and to l</w:t>
      </w:r>
      <w:r w:rsidR="00534932">
        <w:rPr>
          <w:color w:val="000000" w:themeColor="text1"/>
        </w:rPr>
        <w:t>ook across different needs. Yet t</w:t>
      </w:r>
      <w:r>
        <w:rPr>
          <w:color w:val="000000" w:themeColor="text1"/>
        </w:rPr>
        <w:t>here is a danger that this</w:t>
      </w:r>
      <w:r w:rsidR="00B71312">
        <w:rPr>
          <w:color w:val="000000" w:themeColor="text1"/>
        </w:rPr>
        <w:t xml:space="preserve"> </w:t>
      </w:r>
      <w:r w:rsidR="00534932">
        <w:rPr>
          <w:color w:val="000000" w:themeColor="text1"/>
        </w:rPr>
        <w:t>is</w:t>
      </w:r>
      <w:r w:rsidR="00B71312">
        <w:rPr>
          <w:color w:val="000000" w:themeColor="text1"/>
        </w:rPr>
        <w:t xml:space="preserve"> done in a way that doesn’t actually work in practice</w:t>
      </w:r>
      <w:r>
        <w:rPr>
          <w:color w:val="000000" w:themeColor="text1"/>
        </w:rPr>
        <w:t>. Therefore</w:t>
      </w:r>
      <w:r w:rsidR="00B71312">
        <w:rPr>
          <w:color w:val="000000" w:themeColor="text1"/>
        </w:rPr>
        <w:t xml:space="preserve">, </w:t>
      </w:r>
      <w:r>
        <w:rPr>
          <w:color w:val="000000" w:themeColor="text1"/>
        </w:rPr>
        <w:t xml:space="preserve">we need to consider how </w:t>
      </w:r>
      <w:r w:rsidR="00B71312">
        <w:rPr>
          <w:color w:val="000000" w:themeColor="text1"/>
        </w:rPr>
        <w:t xml:space="preserve">this </w:t>
      </w:r>
      <w:r>
        <w:rPr>
          <w:color w:val="000000" w:themeColor="text1"/>
        </w:rPr>
        <w:t xml:space="preserve">could </w:t>
      </w:r>
      <w:r w:rsidR="00B71312">
        <w:rPr>
          <w:color w:val="000000" w:themeColor="text1"/>
        </w:rPr>
        <w:t xml:space="preserve">be approached in a co-creative way. When we </w:t>
      </w:r>
      <w:r w:rsidR="00F84290">
        <w:rPr>
          <w:color w:val="000000" w:themeColor="text1"/>
        </w:rPr>
        <w:t>talk</w:t>
      </w:r>
      <w:r w:rsidR="00B71312">
        <w:rPr>
          <w:color w:val="000000" w:themeColor="text1"/>
        </w:rPr>
        <w:t xml:space="preserve"> about things being accessible or socio-economically inclusive, how do we know what we mean by these things</w:t>
      </w:r>
      <w:r>
        <w:rPr>
          <w:color w:val="000000" w:themeColor="text1"/>
        </w:rPr>
        <w:t>, and</w:t>
      </w:r>
      <w:r w:rsidR="00B71312">
        <w:rPr>
          <w:color w:val="000000" w:themeColor="text1"/>
        </w:rPr>
        <w:t xml:space="preserve"> are they act</w:t>
      </w:r>
      <w:r>
        <w:rPr>
          <w:color w:val="000000" w:themeColor="text1"/>
        </w:rPr>
        <w:t xml:space="preserve">ually accessible for the </w:t>
      </w:r>
      <w:r w:rsidR="00B71312">
        <w:rPr>
          <w:color w:val="000000" w:themeColor="text1"/>
        </w:rPr>
        <w:t>people on the ground</w:t>
      </w:r>
      <w:r>
        <w:rPr>
          <w:color w:val="000000" w:themeColor="text1"/>
        </w:rPr>
        <w:t>?</w:t>
      </w:r>
    </w:p>
    <w:p w14:paraId="7A52F7E9" w14:textId="504DC3D3" w:rsidR="00B71312" w:rsidRDefault="00A62923" w:rsidP="00375C1F">
      <w:pPr>
        <w:spacing w:line="240" w:lineRule="auto"/>
        <w:ind w:left="720" w:hanging="720"/>
        <w:rPr>
          <w:color w:val="000000" w:themeColor="text1"/>
        </w:rPr>
      </w:pPr>
      <w:r>
        <w:rPr>
          <w:rFonts w:cs="Arial"/>
          <w:szCs w:val="24"/>
        </w:rPr>
        <w:t xml:space="preserve">6.8 </w:t>
      </w:r>
      <w:r>
        <w:rPr>
          <w:rFonts w:cs="Arial"/>
          <w:szCs w:val="24"/>
        </w:rPr>
        <w:tab/>
        <w:t xml:space="preserve">The </w:t>
      </w:r>
      <w:r w:rsidRPr="00933D18">
        <w:rPr>
          <w:rFonts w:cs="Arial"/>
          <w:i/>
          <w:szCs w:val="24"/>
        </w:rPr>
        <w:t>Interim Chair</w:t>
      </w:r>
      <w:r>
        <w:rPr>
          <w:rFonts w:cs="Arial"/>
          <w:szCs w:val="24"/>
        </w:rPr>
        <w:t xml:space="preserve"> thanked Members for their input, and reiterated that it is important to consider the following questions: ‘</w:t>
      </w:r>
      <w:r>
        <w:rPr>
          <w:color w:val="000000" w:themeColor="text1"/>
        </w:rPr>
        <w:t xml:space="preserve">What does good </w:t>
      </w:r>
      <w:r w:rsidR="00B71312">
        <w:rPr>
          <w:color w:val="000000" w:themeColor="text1"/>
        </w:rPr>
        <w:t>look like? How do we influence this? How do we address the obvious equality issues that aren’t being covered?</w:t>
      </w:r>
      <w:r>
        <w:rPr>
          <w:color w:val="000000" w:themeColor="text1"/>
        </w:rPr>
        <w:t>’</w:t>
      </w:r>
    </w:p>
    <w:p w14:paraId="5BFDA7A5" w14:textId="00D29B1D" w:rsidR="00B71312" w:rsidRDefault="00A62923" w:rsidP="00375C1F">
      <w:pPr>
        <w:spacing w:line="240" w:lineRule="auto"/>
        <w:ind w:left="720" w:hanging="720"/>
        <w:rPr>
          <w:color w:val="000000" w:themeColor="text1"/>
        </w:rPr>
      </w:pPr>
      <w:r>
        <w:rPr>
          <w:rFonts w:cs="Arial"/>
          <w:szCs w:val="24"/>
        </w:rPr>
        <w:lastRenderedPageBreak/>
        <w:t xml:space="preserve">6.9 </w:t>
      </w:r>
      <w:r>
        <w:rPr>
          <w:rFonts w:cs="Arial"/>
          <w:szCs w:val="24"/>
        </w:rPr>
        <w:tab/>
        <w:t>A Committee member echoed that this is a vital topic for the Committee to be discussing, and that it is imperative to consider how decisions will have a bearing on people’s lives in reality. How will this be s</w:t>
      </w:r>
      <w:r w:rsidR="00B71312">
        <w:rPr>
          <w:color w:val="000000" w:themeColor="text1"/>
        </w:rPr>
        <w:t xml:space="preserve">crutinised? Who is </w:t>
      </w:r>
      <w:r>
        <w:rPr>
          <w:color w:val="000000" w:themeColor="text1"/>
        </w:rPr>
        <w:t>monitoring</w:t>
      </w:r>
      <w:r w:rsidR="00B71312">
        <w:rPr>
          <w:color w:val="000000" w:themeColor="text1"/>
        </w:rPr>
        <w:t xml:space="preserve"> the implementation of the</w:t>
      </w:r>
      <w:r>
        <w:rPr>
          <w:color w:val="000000" w:themeColor="text1"/>
        </w:rPr>
        <w:t xml:space="preserve"> SED </w:t>
      </w:r>
      <w:r w:rsidR="00F11D74">
        <w:rPr>
          <w:color w:val="000000" w:themeColor="text1"/>
        </w:rPr>
        <w:t xml:space="preserve">in </w:t>
      </w:r>
      <w:r>
        <w:rPr>
          <w:color w:val="000000" w:themeColor="text1"/>
        </w:rPr>
        <w:t>these City D</w:t>
      </w:r>
      <w:r w:rsidR="00B71312">
        <w:rPr>
          <w:color w:val="000000" w:themeColor="text1"/>
        </w:rPr>
        <w:t xml:space="preserve">eals which are </w:t>
      </w:r>
      <w:r>
        <w:rPr>
          <w:color w:val="000000" w:themeColor="text1"/>
        </w:rPr>
        <w:t xml:space="preserve">worth </w:t>
      </w:r>
      <w:r w:rsidR="00B71312">
        <w:rPr>
          <w:color w:val="000000" w:themeColor="text1"/>
        </w:rPr>
        <w:t xml:space="preserve">billions of pounds? Is it the </w:t>
      </w:r>
      <w:r>
        <w:rPr>
          <w:color w:val="000000" w:themeColor="text1"/>
        </w:rPr>
        <w:t>Public S</w:t>
      </w:r>
      <w:r w:rsidR="00B71312">
        <w:rPr>
          <w:color w:val="000000" w:themeColor="text1"/>
        </w:rPr>
        <w:t xml:space="preserve">ervices </w:t>
      </w:r>
      <w:r>
        <w:rPr>
          <w:rFonts w:cs="Arial"/>
          <w:szCs w:val="24"/>
        </w:rPr>
        <w:t>B</w:t>
      </w:r>
      <w:r w:rsidR="00B71312">
        <w:rPr>
          <w:color w:val="000000" w:themeColor="text1"/>
        </w:rPr>
        <w:t>oard? Wh</w:t>
      </w:r>
      <w:r>
        <w:rPr>
          <w:color w:val="000000" w:themeColor="text1"/>
        </w:rPr>
        <w:t>o is supposed to be doing this?</w:t>
      </w:r>
    </w:p>
    <w:p w14:paraId="23F0C680" w14:textId="5E0A8C09" w:rsidR="00B71312" w:rsidRDefault="00A62923" w:rsidP="00375C1F">
      <w:pPr>
        <w:spacing w:line="240" w:lineRule="auto"/>
        <w:ind w:left="720" w:hanging="720"/>
        <w:rPr>
          <w:color w:val="000000" w:themeColor="text1"/>
        </w:rPr>
      </w:pPr>
      <w:r>
        <w:rPr>
          <w:rFonts w:cs="Arial"/>
          <w:szCs w:val="24"/>
        </w:rPr>
        <w:t>6</w:t>
      </w:r>
      <w:r w:rsidRPr="00A62923">
        <w:rPr>
          <w:color w:val="000000" w:themeColor="text1"/>
        </w:rPr>
        <w:t>.</w:t>
      </w:r>
      <w:r>
        <w:rPr>
          <w:color w:val="000000" w:themeColor="text1"/>
        </w:rPr>
        <w:t xml:space="preserve">10 </w:t>
      </w:r>
      <w:r>
        <w:rPr>
          <w:color w:val="000000" w:themeColor="text1"/>
        </w:rPr>
        <w:tab/>
        <w:t xml:space="preserve">Other Committee members agreed that </w:t>
      </w:r>
      <w:r w:rsidR="00B71312">
        <w:rPr>
          <w:color w:val="000000" w:themeColor="text1"/>
        </w:rPr>
        <w:t xml:space="preserve">governance and oversight </w:t>
      </w:r>
      <w:r>
        <w:rPr>
          <w:color w:val="000000" w:themeColor="text1"/>
        </w:rPr>
        <w:t xml:space="preserve">is </w:t>
      </w:r>
      <w:r w:rsidR="00B71312">
        <w:rPr>
          <w:color w:val="000000" w:themeColor="text1"/>
        </w:rPr>
        <w:t>essential</w:t>
      </w:r>
      <w:r>
        <w:rPr>
          <w:color w:val="000000" w:themeColor="text1"/>
        </w:rPr>
        <w:t xml:space="preserve">, but highlighted an issue in that partners involved in these Deals will likely have their own </w:t>
      </w:r>
      <w:r w:rsidR="00D328AB">
        <w:rPr>
          <w:color w:val="000000" w:themeColor="text1"/>
        </w:rPr>
        <w:t xml:space="preserve">scrutiny mechanisms, as occurred previously with work on the PSED and </w:t>
      </w:r>
      <w:r w:rsidR="00AD1E62">
        <w:rPr>
          <w:color w:val="000000" w:themeColor="text1"/>
        </w:rPr>
        <w:t xml:space="preserve">the </w:t>
      </w:r>
      <w:r w:rsidR="00D328AB">
        <w:rPr>
          <w:color w:val="000000" w:themeColor="text1"/>
        </w:rPr>
        <w:t>Well-b</w:t>
      </w:r>
      <w:r w:rsidR="00933D18">
        <w:rPr>
          <w:color w:val="000000" w:themeColor="text1"/>
        </w:rPr>
        <w:t xml:space="preserve">eing of Future Generations Act. </w:t>
      </w:r>
      <w:r w:rsidR="00D328AB">
        <w:rPr>
          <w:color w:val="000000" w:themeColor="text1"/>
        </w:rPr>
        <w:t>Furthermore, these City D</w:t>
      </w:r>
      <w:r w:rsidR="00933D18">
        <w:rPr>
          <w:color w:val="000000" w:themeColor="text1"/>
        </w:rPr>
        <w:t>eals were not established</w:t>
      </w:r>
      <w:r w:rsidR="00B71312">
        <w:rPr>
          <w:color w:val="000000" w:themeColor="text1"/>
        </w:rPr>
        <w:t xml:space="preserve"> with </w:t>
      </w:r>
      <w:r w:rsidR="00933D18">
        <w:rPr>
          <w:color w:val="000000" w:themeColor="text1"/>
        </w:rPr>
        <w:t xml:space="preserve">the </w:t>
      </w:r>
      <w:r w:rsidR="00B71312">
        <w:rPr>
          <w:color w:val="000000" w:themeColor="text1"/>
        </w:rPr>
        <w:t>p</w:t>
      </w:r>
      <w:r w:rsidR="00D328AB">
        <w:rPr>
          <w:color w:val="000000" w:themeColor="text1"/>
        </w:rPr>
        <w:t>romotion of equality in mind, therefore</w:t>
      </w:r>
      <w:r w:rsidR="00B71312">
        <w:rPr>
          <w:color w:val="000000" w:themeColor="text1"/>
        </w:rPr>
        <w:t xml:space="preserve"> nothing in</w:t>
      </w:r>
      <w:r w:rsidR="00D328AB">
        <w:rPr>
          <w:color w:val="000000" w:themeColor="text1"/>
        </w:rPr>
        <w:t xml:space="preserve"> the deals themselves require equality outcomes. </w:t>
      </w:r>
    </w:p>
    <w:p w14:paraId="6A2384EA" w14:textId="7D75ED11" w:rsidR="00B71312" w:rsidRDefault="00D328AB" w:rsidP="00375C1F">
      <w:pPr>
        <w:spacing w:line="240" w:lineRule="auto"/>
        <w:ind w:left="720" w:hanging="720"/>
        <w:rPr>
          <w:color w:val="000000" w:themeColor="text1"/>
        </w:rPr>
      </w:pPr>
      <w:r>
        <w:rPr>
          <w:rFonts w:cs="Arial"/>
          <w:szCs w:val="24"/>
        </w:rPr>
        <w:t>6</w:t>
      </w:r>
      <w:r w:rsidRPr="00D328AB">
        <w:rPr>
          <w:color w:val="000000" w:themeColor="text1"/>
        </w:rPr>
        <w:t>.</w:t>
      </w:r>
      <w:r>
        <w:rPr>
          <w:color w:val="000000" w:themeColor="text1"/>
        </w:rPr>
        <w:t xml:space="preserve">11 </w:t>
      </w:r>
      <w:r>
        <w:rPr>
          <w:color w:val="000000" w:themeColor="text1"/>
        </w:rPr>
        <w:tab/>
        <w:t xml:space="preserve">In response, </w:t>
      </w:r>
      <w:r w:rsidR="006B0550">
        <w:rPr>
          <w:color w:val="000000" w:themeColor="text1"/>
        </w:rPr>
        <w:t>the paper author</w:t>
      </w:r>
      <w:r w:rsidR="00534932">
        <w:rPr>
          <w:rFonts w:cstheme="minorHAnsi"/>
          <w:szCs w:val="24"/>
        </w:rPr>
        <w:t xml:space="preserve"> </w:t>
      </w:r>
      <w:r w:rsidR="006B0550">
        <w:rPr>
          <w:rFonts w:cstheme="minorHAnsi"/>
          <w:szCs w:val="24"/>
        </w:rPr>
        <w:t>noted that equality was built into these deals to an extent.</w:t>
      </w:r>
      <w:r w:rsidR="00B71312">
        <w:rPr>
          <w:color w:val="000000" w:themeColor="text1"/>
        </w:rPr>
        <w:t xml:space="preserve"> Almost a decade ago </w:t>
      </w:r>
      <w:r w:rsidR="006B0550">
        <w:rPr>
          <w:color w:val="000000" w:themeColor="text1"/>
        </w:rPr>
        <w:t>when the Deals were initially set up there was indeed nothing on equality, but things have moved on since. For example, whilst undertaking a similar investment project in Scotland the Commission was</w:t>
      </w:r>
      <w:r w:rsidR="00B71312">
        <w:rPr>
          <w:color w:val="000000" w:themeColor="text1"/>
        </w:rPr>
        <w:t xml:space="preserve"> able to </w:t>
      </w:r>
      <w:r w:rsidR="006B0550">
        <w:rPr>
          <w:color w:val="000000" w:themeColor="text1"/>
        </w:rPr>
        <w:t>secure</w:t>
      </w:r>
      <w:r w:rsidR="00B71312">
        <w:rPr>
          <w:color w:val="000000" w:themeColor="text1"/>
        </w:rPr>
        <w:t xml:space="preserve"> </w:t>
      </w:r>
      <w:r w:rsidR="006B0550">
        <w:rPr>
          <w:color w:val="000000" w:themeColor="text1"/>
        </w:rPr>
        <w:t>e</w:t>
      </w:r>
      <w:r w:rsidR="00B71312">
        <w:rPr>
          <w:color w:val="000000" w:themeColor="text1"/>
        </w:rPr>
        <w:t xml:space="preserve">quality as </w:t>
      </w:r>
      <w:r w:rsidR="006B0550">
        <w:rPr>
          <w:color w:val="000000" w:themeColor="text1"/>
        </w:rPr>
        <w:t>conditionals to the Scottish Government</w:t>
      </w:r>
      <w:r w:rsidR="00B71312">
        <w:rPr>
          <w:color w:val="000000" w:themeColor="text1"/>
        </w:rPr>
        <w:t xml:space="preserve"> funding. </w:t>
      </w:r>
      <w:r w:rsidR="006B0550">
        <w:rPr>
          <w:color w:val="000000" w:themeColor="text1"/>
        </w:rPr>
        <w:t>Th</w:t>
      </w:r>
      <w:r w:rsidR="00DB15EC">
        <w:rPr>
          <w:color w:val="000000" w:themeColor="text1"/>
        </w:rPr>
        <w:t xml:space="preserve">e UK Government was not </w:t>
      </w:r>
      <w:r w:rsidR="0056798D">
        <w:rPr>
          <w:color w:val="000000" w:themeColor="text1"/>
        </w:rPr>
        <w:t xml:space="preserve">concerned </w:t>
      </w:r>
      <w:r w:rsidR="00DB15EC">
        <w:rPr>
          <w:color w:val="000000" w:themeColor="text1"/>
        </w:rPr>
        <w:t>in this regard, but i</w:t>
      </w:r>
      <w:r w:rsidR="00B71312">
        <w:rPr>
          <w:color w:val="000000" w:themeColor="text1"/>
        </w:rPr>
        <w:t>t is possible</w:t>
      </w:r>
      <w:r w:rsidR="006B0550">
        <w:rPr>
          <w:color w:val="000000" w:themeColor="text1"/>
        </w:rPr>
        <w:t xml:space="preserve"> that</w:t>
      </w:r>
      <w:r w:rsidR="00B71312">
        <w:rPr>
          <w:color w:val="000000" w:themeColor="text1"/>
        </w:rPr>
        <w:t xml:space="preserve"> we can do this in Wales. It would be down to the Senedd. </w:t>
      </w:r>
    </w:p>
    <w:p w14:paraId="6FAEF805" w14:textId="4C860EC7" w:rsidR="00B71312" w:rsidRDefault="0011620B" w:rsidP="00375C1F">
      <w:pPr>
        <w:spacing w:line="240" w:lineRule="auto"/>
        <w:ind w:left="720" w:hanging="720"/>
        <w:rPr>
          <w:color w:val="000000" w:themeColor="text1"/>
        </w:rPr>
      </w:pPr>
      <w:r>
        <w:rPr>
          <w:rFonts w:cs="Arial"/>
          <w:szCs w:val="24"/>
        </w:rPr>
        <w:t>6</w:t>
      </w:r>
      <w:r w:rsidRPr="0011620B">
        <w:rPr>
          <w:color w:val="000000" w:themeColor="text1"/>
        </w:rPr>
        <w:t>.</w:t>
      </w:r>
      <w:r>
        <w:rPr>
          <w:color w:val="000000" w:themeColor="text1"/>
        </w:rPr>
        <w:t>12</w:t>
      </w:r>
      <w:r>
        <w:rPr>
          <w:color w:val="000000" w:themeColor="text1"/>
        </w:rPr>
        <w:tab/>
        <w:t>The paper</w:t>
      </w:r>
      <w:r w:rsidRPr="0011620B">
        <w:rPr>
          <w:color w:val="000000" w:themeColor="text1"/>
        </w:rPr>
        <w:t xml:space="preserve"> </w:t>
      </w:r>
      <w:r>
        <w:rPr>
          <w:color w:val="000000" w:themeColor="text1"/>
        </w:rPr>
        <w:t>author</w:t>
      </w:r>
      <w:r>
        <w:rPr>
          <w:rFonts w:cstheme="minorHAnsi"/>
          <w:szCs w:val="24"/>
        </w:rPr>
        <w:t xml:space="preserve"> went on to acknowledge that the</w:t>
      </w:r>
      <w:r w:rsidR="00B71312">
        <w:rPr>
          <w:color w:val="000000" w:themeColor="text1"/>
        </w:rPr>
        <w:t xml:space="preserve"> deals are very </w:t>
      </w:r>
      <w:r>
        <w:rPr>
          <w:color w:val="000000" w:themeColor="text1"/>
        </w:rPr>
        <w:t>murky</w:t>
      </w:r>
      <w:r w:rsidR="00151EE8">
        <w:rPr>
          <w:color w:val="000000" w:themeColor="text1"/>
        </w:rPr>
        <w:t xml:space="preserve">, with little public engagement. </w:t>
      </w:r>
      <w:r>
        <w:rPr>
          <w:color w:val="000000" w:themeColor="text1"/>
        </w:rPr>
        <w:t xml:space="preserve">There are opportunities </w:t>
      </w:r>
      <w:r w:rsidR="00B71312">
        <w:rPr>
          <w:color w:val="000000" w:themeColor="text1"/>
        </w:rPr>
        <w:t xml:space="preserve">in terms of procurement – it is moving quicker than other parts of public policy. The </w:t>
      </w:r>
      <w:r w:rsidR="0056798D">
        <w:rPr>
          <w:color w:val="000000" w:themeColor="text1"/>
        </w:rPr>
        <w:t xml:space="preserve">Social Partnerships and Procurement (Wales) </w:t>
      </w:r>
      <w:r w:rsidR="00B71312">
        <w:rPr>
          <w:color w:val="000000" w:themeColor="text1"/>
        </w:rPr>
        <w:t xml:space="preserve">bill would aim to make fair work conditions mandatory in public contracting and the advancement </w:t>
      </w:r>
      <w:r>
        <w:rPr>
          <w:color w:val="000000" w:themeColor="text1"/>
        </w:rPr>
        <w:t xml:space="preserve">of equality </w:t>
      </w:r>
      <w:r w:rsidR="00B71312">
        <w:rPr>
          <w:color w:val="000000" w:themeColor="text1"/>
        </w:rPr>
        <w:t xml:space="preserve">of opportunity for protected groups would be conditional across forms of public contracting. Of course, </w:t>
      </w:r>
      <w:r>
        <w:rPr>
          <w:color w:val="000000" w:themeColor="text1"/>
        </w:rPr>
        <w:t xml:space="preserve">the question remains - </w:t>
      </w:r>
      <w:r w:rsidR="00B71312">
        <w:rPr>
          <w:color w:val="000000" w:themeColor="text1"/>
        </w:rPr>
        <w:t xml:space="preserve">how is this </w:t>
      </w:r>
      <w:r>
        <w:rPr>
          <w:color w:val="000000" w:themeColor="text1"/>
        </w:rPr>
        <w:t>going</w:t>
      </w:r>
      <w:r w:rsidR="00B71312">
        <w:rPr>
          <w:color w:val="000000" w:themeColor="text1"/>
        </w:rPr>
        <w:t xml:space="preserve"> to be </w:t>
      </w:r>
      <w:r>
        <w:rPr>
          <w:color w:val="000000" w:themeColor="text1"/>
        </w:rPr>
        <w:t>measured</w:t>
      </w:r>
      <w:r w:rsidR="00B71312">
        <w:rPr>
          <w:color w:val="000000" w:themeColor="text1"/>
        </w:rPr>
        <w:t xml:space="preserve"> and </w:t>
      </w:r>
      <w:r>
        <w:rPr>
          <w:color w:val="000000" w:themeColor="text1"/>
        </w:rPr>
        <w:t>monitored</w:t>
      </w:r>
      <w:r w:rsidR="00B71312">
        <w:rPr>
          <w:color w:val="000000" w:themeColor="text1"/>
        </w:rPr>
        <w:t>? This is</w:t>
      </w:r>
      <w:r>
        <w:rPr>
          <w:color w:val="000000" w:themeColor="text1"/>
        </w:rPr>
        <w:t xml:space="preserve"> an opportunity for the EHRC. There is also</w:t>
      </w:r>
      <w:r w:rsidR="00B71312">
        <w:rPr>
          <w:color w:val="000000" w:themeColor="text1"/>
        </w:rPr>
        <w:t xml:space="preserve"> risk. </w:t>
      </w:r>
    </w:p>
    <w:p w14:paraId="5DF9B5AA" w14:textId="5C73CAA2" w:rsidR="00B71312" w:rsidRDefault="0011620B" w:rsidP="00375C1F">
      <w:pPr>
        <w:spacing w:line="240" w:lineRule="auto"/>
        <w:ind w:left="720" w:hanging="720"/>
        <w:rPr>
          <w:color w:val="000000" w:themeColor="text1"/>
        </w:rPr>
      </w:pPr>
      <w:r>
        <w:rPr>
          <w:color w:val="000000" w:themeColor="text1"/>
        </w:rPr>
        <w:t xml:space="preserve">6.13 </w:t>
      </w:r>
      <w:r>
        <w:rPr>
          <w:color w:val="000000" w:themeColor="text1"/>
        </w:rPr>
        <w:tab/>
        <w:t>A Committee member suggested that the Welsh Government needs to in</w:t>
      </w:r>
      <w:r w:rsidR="00534932">
        <w:rPr>
          <w:color w:val="000000" w:themeColor="text1"/>
        </w:rPr>
        <w:t>clude these City D</w:t>
      </w:r>
      <w:r w:rsidR="00B71312">
        <w:rPr>
          <w:color w:val="000000" w:themeColor="text1"/>
        </w:rPr>
        <w:t xml:space="preserve">eals in their annual reports. </w:t>
      </w:r>
      <w:r>
        <w:rPr>
          <w:color w:val="000000" w:themeColor="text1"/>
        </w:rPr>
        <w:t xml:space="preserve">The paper author </w:t>
      </w:r>
      <w:r>
        <w:rPr>
          <w:rFonts w:cstheme="minorHAnsi"/>
          <w:szCs w:val="24"/>
        </w:rPr>
        <w:t>agreed that the W</w:t>
      </w:r>
      <w:r>
        <w:rPr>
          <w:color w:val="000000" w:themeColor="text1"/>
        </w:rPr>
        <w:t>elsh Government</w:t>
      </w:r>
      <w:r w:rsidR="00B71312">
        <w:rPr>
          <w:color w:val="000000" w:themeColor="text1"/>
        </w:rPr>
        <w:t xml:space="preserve"> needs to be able to say wha</w:t>
      </w:r>
      <w:r>
        <w:rPr>
          <w:color w:val="000000" w:themeColor="text1"/>
        </w:rPr>
        <w:t>t good looks like. They are open</w:t>
      </w:r>
      <w:r w:rsidR="00B71312">
        <w:rPr>
          <w:color w:val="000000" w:themeColor="text1"/>
        </w:rPr>
        <w:t xml:space="preserve"> to </w:t>
      </w:r>
      <w:r>
        <w:rPr>
          <w:color w:val="000000" w:themeColor="text1"/>
        </w:rPr>
        <w:t>discuss</w:t>
      </w:r>
      <w:r w:rsidR="00B71312">
        <w:rPr>
          <w:color w:val="000000" w:themeColor="text1"/>
        </w:rPr>
        <w:t xml:space="preserve"> this, but likely would not have talked about it if we </w:t>
      </w:r>
      <w:r>
        <w:rPr>
          <w:color w:val="000000" w:themeColor="text1"/>
        </w:rPr>
        <w:t>didn’t</w:t>
      </w:r>
      <w:r w:rsidR="00B71312">
        <w:rPr>
          <w:color w:val="000000" w:themeColor="text1"/>
        </w:rPr>
        <w:t xml:space="preserve"> bring it up</w:t>
      </w:r>
      <w:r>
        <w:rPr>
          <w:color w:val="000000" w:themeColor="text1"/>
        </w:rPr>
        <w:t>.</w:t>
      </w:r>
    </w:p>
    <w:p w14:paraId="056670A8" w14:textId="70B0C723" w:rsidR="00386AF5" w:rsidRPr="00386AF5" w:rsidRDefault="00E86F08" w:rsidP="00375C1F">
      <w:pPr>
        <w:spacing w:line="240" w:lineRule="auto"/>
        <w:ind w:left="720" w:hanging="720"/>
        <w:rPr>
          <w:color w:val="000000" w:themeColor="text1"/>
        </w:rPr>
      </w:pPr>
      <w:r>
        <w:rPr>
          <w:color w:val="000000" w:themeColor="text1"/>
        </w:rPr>
        <w:t>6.14</w:t>
      </w:r>
      <w:r>
        <w:rPr>
          <w:color w:val="000000" w:themeColor="text1"/>
        </w:rPr>
        <w:tab/>
        <w:t xml:space="preserve">The </w:t>
      </w:r>
      <w:r w:rsidRPr="007C4866">
        <w:rPr>
          <w:i/>
          <w:color w:val="000000" w:themeColor="text1"/>
        </w:rPr>
        <w:t>Interim Chair</w:t>
      </w:r>
      <w:r>
        <w:rPr>
          <w:color w:val="000000" w:themeColor="text1"/>
        </w:rPr>
        <w:t xml:space="preserve"> enquired as to whether the Budget Advisory Group (BAGE) still exists, to which the </w:t>
      </w:r>
      <w:r w:rsidRPr="007C4866">
        <w:rPr>
          <w:i/>
          <w:color w:val="000000" w:themeColor="text1"/>
        </w:rPr>
        <w:t>Head of Wales</w:t>
      </w:r>
      <w:r>
        <w:rPr>
          <w:color w:val="000000" w:themeColor="text1"/>
        </w:rPr>
        <w:t xml:space="preserve"> responded that they have technically been disbanded. </w:t>
      </w:r>
      <w:r w:rsidRPr="007C4866">
        <w:rPr>
          <w:i/>
          <w:color w:val="000000" w:themeColor="text1"/>
        </w:rPr>
        <w:t>Head of Wales</w:t>
      </w:r>
      <w:r>
        <w:rPr>
          <w:color w:val="000000" w:themeColor="text1"/>
        </w:rPr>
        <w:t xml:space="preserve"> asked the Committee whether they would like this to be mentioned during an upcoming meeting with the </w:t>
      </w:r>
      <w:r w:rsidR="004276D5">
        <w:rPr>
          <w:color w:val="000000" w:themeColor="text1"/>
        </w:rPr>
        <w:t>Head of Equalities at</w:t>
      </w:r>
      <w:r>
        <w:rPr>
          <w:color w:val="000000" w:themeColor="text1"/>
        </w:rPr>
        <w:t xml:space="preserve"> the Welsh Governmen</w:t>
      </w:r>
      <w:r w:rsidR="004276D5">
        <w:rPr>
          <w:color w:val="000000" w:themeColor="text1"/>
        </w:rPr>
        <w:t xml:space="preserve">t, including annual reporting and what is happening with BAGE. The Wales Committee confirmed that they would like this listed as an Action. </w:t>
      </w:r>
    </w:p>
    <w:p w14:paraId="0C2E99F0" w14:textId="7AC803D9" w:rsidR="00E86F08" w:rsidRDefault="004276D5" w:rsidP="00375C1F">
      <w:pPr>
        <w:spacing w:line="240" w:lineRule="auto"/>
        <w:rPr>
          <w:color w:val="000000" w:themeColor="text1"/>
        </w:rPr>
      </w:pPr>
      <w:r w:rsidRPr="004276D5">
        <w:rPr>
          <w:b/>
          <w:color w:val="000000" w:themeColor="text1"/>
        </w:rPr>
        <w:t>Action</w:t>
      </w:r>
      <w:r w:rsidR="009D646A">
        <w:rPr>
          <w:b/>
          <w:color w:val="000000" w:themeColor="text1"/>
        </w:rPr>
        <w:t xml:space="preserve"> B</w:t>
      </w:r>
      <w:r w:rsidRPr="004276D5">
        <w:rPr>
          <w:b/>
          <w:color w:val="000000" w:themeColor="text1"/>
        </w:rPr>
        <w:t xml:space="preserve">: Head of Wales to discuss annual reporting of the City Deals </w:t>
      </w:r>
      <w:r w:rsidR="0038429C">
        <w:rPr>
          <w:b/>
          <w:color w:val="000000" w:themeColor="text1"/>
        </w:rPr>
        <w:t xml:space="preserve">and </w:t>
      </w:r>
      <w:r w:rsidRPr="004276D5">
        <w:rPr>
          <w:b/>
          <w:color w:val="000000" w:themeColor="text1"/>
        </w:rPr>
        <w:t xml:space="preserve">what is happening with BAGE during upcoming meeting with </w:t>
      </w:r>
      <w:r>
        <w:rPr>
          <w:b/>
          <w:color w:val="000000" w:themeColor="text1"/>
        </w:rPr>
        <w:t>Head of Equalities at</w:t>
      </w:r>
      <w:r w:rsidRPr="004276D5">
        <w:rPr>
          <w:b/>
          <w:color w:val="000000" w:themeColor="text1"/>
        </w:rPr>
        <w:t xml:space="preserve"> the Welsh Government</w:t>
      </w:r>
      <w:r>
        <w:rPr>
          <w:b/>
          <w:color w:val="000000" w:themeColor="text1"/>
        </w:rPr>
        <w:t>.</w:t>
      </w:r>
    </w:p>
    <w:p w14:paraId="4A5E87AC" w14:textId="659AFA26" w:rsidR="00B71312" w:rsidRDefault="006E09F9" w:rsidP="00375C1F">
      <w:pPr>
        <w:spacing w:line="240" w:lineRule="auto"/>
        <w:ind w:left="720" w:hanging="720"/>
        <w:rPr>
          <w:color w:val="000000" w:themeColor="text1"/>
        </w:rPr>
      </w:pPr>
      <w:r>
        <w:rPr>
          <w:color w:val="000000" w:themeColor="text1"/>
        </w:rPr>
        <w:lastRenderedPageBreak/>
        <w:t xml:space="preserve">6.15 </w:t>
      </w:r>
      <w:r>
        <w:rPr>
          <w:color w:val="000000" w:themeColor="text1"/>
        </w:rPr>
        <w:tab/>
        <w:t xml:space="preserve">A Committee member drew attention to a related mainstream equality project involving Welsh Government and Cardiff University that is taking Net Zero to set out strategic principles on </w:t>
      </w:r>
      <w:r w:rsidR="00DC7CCA">
        <w:rPr>
          <w:color w:val="000000" w:themeColor="text1"/>
        </w:rPr>
        <w:t xml:space="preserve">equality. The aim is to ensure that equality is considered at the outset of projects rather than as a ‘checklist’ at the end. </w:t>
      </w:r>
      <w:r w:rsidR="000C3D42">
        <w:rPr>
          <w:color w:val="000000" w:themeColor="text1"/>
        </w:rPr>
        <w:t>A further Committee member</w:t>
      </w:r>
      <w:r w:rsidR="003C04A3">
        <w:rPr>
          <w:color w:val="000000" w:themeColor="text1"/>
        </w:rPr>
        <w:t xml:space="preserve"> agreed that </w:t>
      </w:r>
      <w:r w:rsidR="003C04A3" w:rsidRPr="003C04A3">
        <w:rPr>
          <w:color w:val="000000" w:themeColor="text1"/>
        </w:rPr>
        <w:t>equality does not retrofit effectively</w:t>
      </w:r>
      <w:r w:rsidR="003C04A3">
        <w:rPr>
          <w:color w:val="000000" w:themeColor="text1"/>
        </w:rPr>
        <w:t xml:space="preserve">. </w:t>
      </w:r>
    </w:p>
    <w:p w14:paraId="6A28DFFA" w14:textId="1A4DB87E" w:rsidR="00B71312" w:rsidRDefault="00DC7CCA" w:rsidP="00375C1F">
      <w:pPr>
        <w:spacing w:line="240" w:lineRule="auto"/>
        <w:ind w:left="720" w:hanging="720"/>
        <w:rPr>
          <w:color w:val="000000" w:themeColor="text1"/>
        </w:rPr>
      </w:pPr>
      <w:r>
        <w:rPr>
          <w:color w:val="000000" w:themeColor="text1"/>
        </w:rPr>
        <w:t xml:space="preserve">6.16 </w:t>
      </w:r>
      <w:r>
        <w:rPr>
          <w:color w:val="000000" w:themeColor="text1"/>
        </w:rPr>
        <w:tab/>
        <w:t>In response to queries regarding the team’s capac</w:t>
      </w:r>
      <w:r w:rsidR="000C3D42">
        <w:rPr>
          <w:color w:val="000000" w:themeColor="text1"/>
        </w:rPr>
        <w:t xml:space="preserve">ity to undertake this work, </w:t>
      </w:r>
      <w:r w:rsidRPr="000C3D42">
        <w:rPr>
          <w:i/>
          <w:color w:val="000000" w:themeColor="text1"/>
        </w:rPr>
        <w:t>Head of Wales</w:t>
      </w:r>
      <w:r>
        <w:rPr>
          <w:color w:val="000000" w:themeColor="text1"/>
        </w:rPr>
        <w:t xml:space="preserve"> noted that </w:t>
      </w:r>
      <w:r w:rsidR="0038313A">
        <w:rPr>
          <w:color w:val="000000" w:themeColor="text1"/>
        </w:rPr>
        <w:t>capacity is limited. The paper</w:t>
      </w:r>
      <w:r w:rsidR="0038313A" w:rsidRPr="0011620B">
        <w:rPr>
          <w:color w:val="000000" w:themeColor="text1"/>
        </w:rPr>
        <w:t xml:space="preserve"> </w:t>
      </w:r>
      <w:r w:rsidR="00534932">
        <w:rPr>
          <w:color w:val="000000" w:themeColor="text1"/>
        </w:rPr>
        <w:t xml:space="preserve">author </w:t>
      </w:r>
      <w:r w:rsidR="003C04A3">
        <w:rPr>
          <w:rFonts w:cstheme="minorHAnsi"/>
          <w:szCs w:val="24"/>
        </w:rPr>
        <w:t>explained that it is fortunate that there are only four deals</w:t>
      </w:r>
      <w:r w:rsidR="000C3D42">
        <w:rPr>
          <w:rFonts w:cstheme="minorHAnsi"/>
          <w:szCs w:val="24"/>
        </w:rPr>
        <w:t xml:space="preserve"> in Wales</w:t>
      </w:r>
      <w:r w:rsidR="003C04A3">
        <w:rPr>
          <w:rFonts w:cstheme="minorHAnsi"/>
          <w:szCs w:val="24"/>
        </w:rPr>
        <w:t xml:space="preserve">, making it more manageable, particularly </w:t>
      </w:r>
      <w:r w:rsidR="000E1698">
        <w:rPr>
          <w:rFonts w:cstheme="minorHAnsi"/>
          <w:szCs w:val="24"/>
        </w:rPr>
        <w:t>as</w:t>
      </w:r>
      <w:r w:rsidR="003C04A3">
        <w:rPr>
          <w:rFonts w:cstheme="minorHAnsi"/>
          <w:szCs w:val="24"/>
        </w:rPr>
        <w:t xml:space="preserve"> the project management offices of each deal</w:t>
      </w:r>
      <w:r w:rsidR="000E1698">
        <w:rPr>
          <w:rFonts w:cstheme="minorHAnsi"/>
          <w:szCs w:val="24"/>
        </w:rPr>
        <w:t xml:space="preserve"> are being targeted</w:t>
      </w:r>
      <w:r w:rsidR="003C04A3">
        <w:rPr>
          <w:rFonts w:cstheme="minorHAnsi"/>
          <w:szCs w:val="24"/>
        </w:rPr>
        <w:t xml:space="preserve">. </w:t>
      </w:r>
      <w:r w:rsidR="00243D09">
        <w:rPr>
          <w:rFonts w:cstheme="minorHAnsi"/>
          <w:szCs w:val="24"/>
        </w:rPr>
        <w:t>Plus, i</w:t>
      </w:r>
      <w:r w:rsidR="00B71312">
        <w:rPr>
          <w:color w:val="000000" w:themeColor="text1"/>
        </w:rPr>
        <w:t>ssues</w:t>
      </w:r>
      <w:r w:rsidR="003C04A3">
        <w:rPr>
          <w:color w:val="000000" w:themeColor="text1"/>
        </w:rPr>
        <w:t xml:space="preserve"> are common across the deals. The Commission has</w:t>
      </w:r>
      <w:r w:rsidR="00B71312">
        <w:rPr>
          <w:color w:val="000000" w:themeColor="text1"/>
        </w:rPr>
        <w:t xml:space="preserve"> a lot of </w:t>
      </w:r>
      <w:r w:rsidR="003C04A3">
        <w:rPr>
          <w:color w:val="000000" w:themeColor="text1"/>
        </w:rPr>
        <w:t>resources</w:t>
      </w:r>
      <w:r w:rsidR="00B71312">
        <w:rPr>
          <w:color w:val="000000" w:themeColor="text1"/>
        </w:rPr>
        <w:t xml:space="preserve"> already </w:t>
      </w:r>
      <w:r w:rsidR="00AF4321">
        <w:rPr>
          <w:color w:val="000000" w:themeColor="text1"/>
        </w:rPr>
        <w:t>but</w:t>
      </w:r>
      <w:r w:rsidR="00B71312">
        <w:rPr>
          <w:color w:val="000000" w:themeColor="text1"/>
        </w:rPr>
        <w:t xml:space="preserve"> they </w:t>
      </w:r>
      <w:r w:rsidR="003C04A3">
        <w:rPr>
          <w:color w:val="000000" w:themeColor="text1"/>
        </w:rPr>
        <w:t>need</w:t>
      </w:r>
      <w:r w:rsidR="00B71312">
        <w:rPr>
          <w:color w:val="000000" w:themeColor="text1"/>
        </w:rPr>
        <w:t xml:space="preserve"> to be translated </w:t>
      </w:r>
      <w:r w:rsidR="003C04A3">
        <w:rPr>
          <w:color w:val="000000" w:themeColor="text1"/>
        </w:rPr>
        <w:t>into the W</w:t>
      </w:r>
      <w:r w:rsidR="00B71312">
        <w:rPr>
          <w:color w:val="000000" w:themeColor="text1"/>
        </w:rPr>
        <w:t>elsh policy</w:t>
      </w:r>
      <w:r w:rsidR="003C04A3">
        <w:rPr>
          <w:color w:val="000000" w:themeColor="text1"/>
        </w:rPr>
        <w:t xml:space="preserve"> context, such as how to conduct an </w:t>
      </w:r>
      <w:r w:rsidR="00B71312">
        <w:rPr>
          <w:color w:val="000000" w:themeColor="text1"/>
        </w:rPr>
        <w:t>E</w:t>
      </w:r>
      <w:r w:rsidR="00CF10EA">
        <w:rPr>
          <w:color w:val="000000" w:themeColor="text1"/>
        </w:rPr>
        <w:t xml:space="preserve">quality </w:t>
      </w:r>
      <w:r w:rsidR="00B71312">
        <w:rPr>
          <w:color w:val="000000" w:themeColor="text1"/>
        </w:rPr>
        <w:t>I</w:t>
      </w:r>
      <w:r w:rsidR="00CF10EA">
        <w:rPr>
          <w:color w:val="000000" w:themeColor="text1"/>
        </w:rPr>
        <w:t xml:space="preserve">mpact </w:t>
      </w:r>
      <w:r w:rsidR="00B71312">
        <w:rPr>
          <w:color w:val="000000" w:themeColor="text1"/>
        </w:rPr>
        <w:t>A</w:t>
      </w:r>
      <w:r w:rsidR="00CF10EA">
        <w:rPr>
          <w:color w:val="000000" w:themeColor="text1"/>
        </w:rPr>
        <w:t>ssessment</w:t>
      </w:r>
      <w:r w:rsidR="00B71312">
        <w:rPr>
          <w:color w:val="000000" w:themeColor="text1"/>
        </w:rPr>
        <w:t xml:space="preserve"> of an </w:t>
      </w:r>
      <w:r w:rsidR="003C04A3">
        <w:rPr>
          <w:color w:val="000000" w:themeColor="text1"/>
        </w:rPr>
        <w:t>infrastructure</w:t>
      </w:r>
      <w:r w:rsidR="00B71312">
        <w:rPr>
          <w:color w:val="000000" w:themeColor="text1"/>
        </w:rPr>
        <w:t xml:space="preserve"> </w:t>
      </w:r>
      <w:r w:rsidR="003C04A3">
        <w:rPr>
          <w:color w:val="000000" w:themeColor="text1"/>
        </w:rPr>
        <w:t>project</w:t>
      </w:r>
      <w:r w:rsidR="00B71312">
        <w:rPr>
          <w:color w:val="000000" w:themeColor="text1"/>
        </w:rPr>
        <w:t xml:space="preserve"> or how to </w:t>
      </w:r>
      <w:r w:rsidR="003C04A3">
        <w:rPr>
          <w:color w:val="000000" w:themeColor="text1"/>
        </w:rPr>
        <w:t>write</w:t>
      </w:r>
      <w:r w:rsidR="00B71312">
        <w:rPr>
          <w:color w:val="000000" w:themeColor="text1"/>
        </w:rPr>
        <w:t xml:space="preserve"> a </w:t>
      </w:r>
      <w:r w:rsidR="003C04A3">
        <w:rPr>
          <w:color w:val="000000" w:themeColor="text1"/>
        </w:rPr>
        <w:t>b</w:t>
      </w:r>
      <w:r w:rsidR="00B71312">
        <w:rPr>
          <w:color w:val="000000" w:themeColor="text1"/>
        </w:rPr>
        <w:t xml:space="preserve">usiness case </w:t>
      </w:r>
      <w:r w:rsidR="003C04A3">
        <w:rPr>
          <w:color w:val="000000" w:themeColor="text1"/>
        </w:rPr>
        <w:t>which</w:t>
      </w:r>
      <w:r w:rsidR="00B71312">
        <w:rPr>
          <w:color w:val="000000" w:themeColor="text1"/>
        </w:rPr>
        <w:t xml:space="preserve"> integrates equality and business issues</w:t>
      </w:r>
      <w:r w:rsidR="003C04A3">
        <w:rPr>
          <w:color w:val="000000" w:themeColor="text1"/>
        </w:rPr>
        <w:t xml:space="preserve">. The idea is that the Commission is </w:t>
      </w:r>
      <w:r w:rsidR="00B71312">
        <w:rPr>
          <w:color w:val="000000" w:themeColor="text1"/>
        </w:rPr>
        <w:t xml:space="preserve">sensitive </w:t>
      </w:r>
      <w:r w:rsidR="003C04A3">
        <w:rPr>
          <w:color w:val="000000" w:themeColor="text1"/>
        </w:rPr>
        <w:t>to economic development, people, and</w:t>
      </w:r>
      <w:r w:rsidR="00B71312">
        <w:rPr>
          <w:color w:val="000000" w:themeColor="text1"/>
        </w:rPr>
        <w:t xml:space="preserve"> equality issue</w:t>
      </w:r>
      <w:r w:rsidR="003C04A3">
        <w:rPr>
          <w:color w:val="000000" w:themeColor="text1"/>
        </w:rPr>
        <w:t>s. It is broader than just the D</w:t>
      </w:r>
      <w:r w:rsidR="00B71312">
        <w:rPr>
          <w:color w:val="000000" w:themeColor="text1"/>
        </w:rPr>
        <w:t xml:space="preserve">eals. </w:t>
      </w:r>
      <w:r w:rsidR="003C04A3">
        <w:rPr>
          <w:color w:val="000000" w:themeColor="text1"/>
        </w:rPr>
        <w:t>The aim is to g</w:t>
      </w:r>
      <w:r w:rsidR="00B71312">
        <w:rPr>
          <w:color w:val="000000" w:themeColor="text1"/>
        </w:rPr>
        <w:t xml:space="preserve">et </w:t>
      </w:r>
      <w:r w:rsidR="003C04A3">
        <w:rPr>
          <w:color w:val="000000" w:themeColor="text1"/>
        </w:rPr>
        <w:t>everyone involved in the Deals t</w:t>
      </w:r>
      <w:r w:rsidR="00B31551">
        <w:rPr>
          <w:color w:val="000000" w:themeColor="text1"/>
        </w:rPr>
        <w:t xml:space="preserve">o think: </w:t>
      </w:r>
      <w:r w:rsidR="00B71312">
        <w:rPr>
          <w:color w:val="000000" w:themeColor="text1"/>
        </w:rPr>
        <w:t xml:space="preserve">how can we do this better? </w:t>
      </w:r>
    </w:p>
    <w:p w14:paraId="2073880E" w14:textId="7DEEBB1C" w:rsidR="003E2F4C" w:rsidRDefault="003C04A3" w:rsidP="00375C1F">
      <w:pPr>
        <w:spacing w:line="240" w:lineRule="auto"/>
        <w:ind w:left="720" w:hanging="720"/>
      </w:pPr>
      <w:r>
        <w:rPr>
          <w:color w:val="000000" w:themeColor="text1"/>
        </w:rPr>
        <w:t xml:space="preserve">6.17 </w:t>
      </w:r>
      <w:r>
        <w:rPr>
          <w:color w:val="000000" w:themeColor="text1"/>
        </w:rPr>
        <w:tab/>
        <w:t xml:space="preserve">The </w:t>
      </w:r>
      <w:r w:rsidRPr="000C3D42">
        <w:rPr>
          <w:i/>
          <w:color w:val="000000" w:themeColor="text1"/>
        </w:rPr>
        <w:t>Interim Chair</w:t>
      </w:r>
      <w:r>
        <w:rPr>
          <w:color w:val="000000" w:themeColor="text1"/>
        </w:rPr>
        <w:t xml:space="preserve"> offered thanks for the paper and directed the Committee to the next item on the agenda. </w:t>
      </w:r>
      <w:r w:rsidR="003E2F4C">
        <w:rPr>
          <w:rFonts w:cs="Arial"/>
          <w:szCs w:val="24"/>
        </w:rPr>
        <w:t xml:space="preserve"> </w:t>
      </w:r>
    </w:p>
    <w:p w14:paraId="675CD35E" w14:textId="2D7FFB50" w:rsidR="0030103A" w:rsidRDefault="009F2F8B" w:rsidP="00375C1F">
      <w:pPr>
        <w:pStyle w:val="Heading2"/>
      </w:pPr>
      <w:bookmarkStart w:id="19" w:name="_Toc97902462"/>
      <w:r>
        <w:t>7</w:t>
      </w:r>
      <w:r w:rsidR="0030103A">
        <w:t xml:space="preserve">. </w:t>
      </w:r>
      <w:r w:rsidR="00BD69C0" w:rsidRPr="00BD69C0">
        <w:t xml:space="preserve">CEO update with input from </w:t>
      </w:r>
      <w:r w:rsidR="00F97F52" w:rsidRPr="00F97F52">
        <w:t>Chief Strategy and Policy Officer</w:t>
      </w:r>
      <w:bookmarkEnd w:id="19"/>
    </w:p>
    <w:p w14:paraId="6CBBB131" w14:textId="6DA22D6A" w:rsidR="00A77DEE" w:rsidRDefault="009F2F8B" w:rsidP="00375C1F">
      <w:pPr>
        <w:spacing w:line="240" w:lineRule="auto"/>
        <w:ind w:left="720" w:hanging="720"/>
      </w:pPr>
      <w:r>
        <w:rPr>
          <w:rFonts w:cs="Arial"/>
          <w:szCs w:val="24"/>
        </w:rPr>
        <w:t>7</w:t>
      </w:r>
      <w:r w:rsidR="0030103A">
        <w:rPr>
          <w:rFonts w:cs="Arial"/>
          <w:szCs w:val="24"/>
        </w:rPr>
        <w:t>.1</w:t>
      </w:r>
      <w:r w:rsidR="0030103A" w:rsidRPr="004A0EA0">
        <w:rPr>
          <w:rFonts w:cs="Arial"/>
          <w:szCs w:val="24"/>
        </w:rPr>
        <w:tab/>
      </w:r>
      <w:r w:rsidR="000C5FA8">
        <w:rPr>
          <w:rFonts w:cs="Arial"/>
          <w:szCs w:val="24"/>
        </w:rPr>
        <w:t xml:space="preserve">The </w:t>
      </w:r>
      <w:r w:rsidR="000C5FA8" w:rsidRPr="00104AFB">
        <w:rPr>
          <w:rFonts w:cs="Arial"/>
          <w:i/>
          <w:szCs w:val="24"/>
        </w:rPr>
        <w:t>CEO</w:t>
      </w:r>
      <w:r w:rsidR="000C5FA8">
        <w:rPr>
          <w:rFonts w:cs="Arial"/>
          <w:szCs w:val="24"/>
        </w:rPr>
        <w:t xml:space="preserve"> provided an update firstly on regulatory activity in the Commission, including work on gender pay gap reporting. </w:t>
      </w:r>
      <w:r w:rsidR="00104AFB">
        <w:rPr>
          <w:rFonts w:cs="Arial"/>
          <w:szCs w:val="24"/>
        </w:rPr>
        <w:t>It was explained that t</w:t>
      </w:r>
      <w:r w:rsidR="000C5FA8">
        <w:rPr>
          <w:rFonts w:cs="Arial"/>
          <w:szCs w:val="24"/>
        </w:rPr>
        <w:t>he Commission pursues</w:t>
      </w:r>
      <w:r w:rsidR="00873768">
        <w:rPr>
          <w:rFonts w:cs="Arial"/>
          <w:szCs w:val="24"/>
        </w:rPr>
        <w:t xml:space="preserve"> bodies that are not reporting </w:t>
      </w:r>
      <w:r w:rsidR="000C5FA8">
        <w:rPr>
          <w:rFonts w:cs="Arial"/>
          <w:szCs w:val="24"/>
        </w:rPr>
        <w:t>and</w:t>
      </w:r>
      <w:r w:rsidR="00873768">
        <w:rPr>
          <w:rFonts w:cs="Arial"/>
          <w:szCs w:val="24"/>
        </w:rPr>
        <w:t xml:space="preserve"> that</w:t>
      </w:r>
      <w:r w:rsidR="000C5FA8">
        <w:rPr>
          <w:rFonts w:cs="Arial"/>
          <w:szCs w:val="24"/>
        </w:rPr>
        <w:t xml:space="preserve"> this number has reduced by a third in the last two months. The Commission are also working with the Labour Party and Conservative Party to tackle allegations of Anti-Semitism and Islamophobia, respectively</w:t>
      </w:r>
      <w:r w:rsidR="00104AFB">
        <w:rPr>
          <w:rFonts w:cs="Arial"/>
          <w:szCs w:val="24"/>
        </w:rPr>
        <w:t>.</w:t>
      </w:r>
      <w:r w:rsidR="000C5FA8">
        <w:rPr>
          <w:rFonts w:cs="Arial"/>
          <w:szCs w:val="24"/>
        </w:rPr>
        <w:t xml:space="preserve"> The Commission is also conducting work on challenging adult social care decisions, as well as with Yorkshire County Cricket Club, and working with </w:t>
      </w:r>
      <w:r w:rsidR="00A77DEE">
        <w:t xml:space="preserve">other </w:t>
      </w:r>
      <w:r w:rsidR="000C5FA8">
        <w:t>organisations</w:t>
      </w:r>
      <w:r w:rsidR="00A77DEE">
        <w:t xml:space="preserve"> to implement PSED requirements. </w:t>
      </w:r>
      <w:r w:rsidR="000C5FA8">
        <w:t xml:space="preserve">The </w:t>
      </w:r>
      <w:r w:rsidR="000C5FA8" w:rsidRPr="00104AFB">
        <w:rPr>
          <w:i/>
        </w:rPr>
        <w:t>CEO</w:t>
      </w:r>
      <w:r w:rsidR="000C5FA8">
        <w:t xml:space="preserve"> recently met with an MP and agreed to support their campaign to support those </w:t>
      </w:r>
      <w:r w:rsidR="00A77DEE">
        <w:t xml:space="preserve">with afro hair. </w:t>
      </w:r>
      <w:r w:rsidR="000C5FA8">
        <w:t>The Commission has signed up to Halo I</w:t>
      </w:r>
      <w:r w:rsidR="00A77DEE">
        <w:t>nitia</w:t>
      </w:r>
      <w:r w:rsidR="000C5FA8">
        <w:t>tive. Finally, on regulation, the Commission is</w:t>
      </w:r>
      <w:r w:rsidR="00A77DEE">
        <w:t xml:space="preserve"> </w:t>
      </w:r>
      <w:r w:rsidR="000C5FA8">
        <w:t>producing</w:t>
      </w:r>
      <w:r w:rsidR="00A77DEE">
        <w:t xml:space="preserve"> guidance on single</w:t>
      </w:r>
      <w:r w:rsidR="000C5FA8">
        <w:t>-sex spaces</w:t>
      </w:r>
      <w:r w:rsidR="007A7D49">
        <w:t>.</w:t>
      </w:r>
    </w:p>
    <w:p w14:paraId="59D24D0D" w14:textId="0A0D6F7C" w:rsidR="00A77DEE" w:rsidRDefault="009F2F8B" w:rsidP="00375C1F">
      <w:pPr>
        <w:spacing w:line="240" w:lineRule="auto"/>
        <w:ind w:left="720" w:hanging="720"/>
      </w:pPr>
      <w:r>
        <w:lastRenderedPageBreak/>
        <w:t>7</w:t>
      </w:r>
      <w:r w:rsidR="007A7D49">
        <w:t xml:space="preserve">.2 </w:t>
      </w:r>
      <w:r w:rsidR="007A7D49">
        <w:tab/>
        <w:t>In policy work, the</w:t>
      </w:r>
      <w:r w:rsidR="004F5097">
        <w:t xml:space="preserve"> </w:t>
      </w:r>
      <w:r w:rsidR="004F5097" w:rsidRPr="00104AFB">
        <w:rPr>
          <w:i/>
        </w:rPr>
        <w:t>CEO</w:t>
      </w:r>
      <w:r w:rsidR="004F5097">
        <w:t xml:space="preserve"> outlined that the</w:t>
      </w:r>
      <w:r w:rsidR="007A7D49">
        <w:t xml:space="preserve"> Commission has</w:t>
      </w:r>
      <w:r w:rsidR="00A77DEE">
        <w:t xml:space="preserve"> responded to </w:t>
      </w:r>
      <w:r w:rsidR="007A7D49">
        <w:t>consultations</w:t>
      </w:r>
      <w:r w:rsidR="00A77DEE">
        <w:t xml:space="preserve"> on flexible working,</w:t>
      </w:r>
      <w:r w:rsidR="007A7D49">
        <w:t xml:space="preserve"> the Health and Social Care B</w:t>
      </w:r>
      <w:r w:rsidR="00A77DEE">
        <w:t>ill, online safety,</w:t>
      </w:r>
      <w:r w:rsidR="007A7D49">
        <w:t xml:space="preserve"> and</w:t>
      </w:r>
      <w:r w:rsidR="00A77DEE">
        <w:t xml:space="preserve"> </w:t>
      </w:r>
      <w:r w:rsidR="007A7D49">
        <w:t xml:space="preserve">the Police Bill. The </w:t>
      </w:r>
      <w:r w:rsidR="007A7D49" w:rsidRPr="00104AFB">
        <w:rPr>
          <w:i/>
        </w:rPr>
        <w:t>CEO</w:t>
      </w:r>
      <w:r w:rsidR="007A7D49">
        <w:t xml:space="preserve"> offered further detail on these, if desired. Work is also on-going in </w:t>
      </w:r>
      <w:r w:rsidR="004F5097">
        <w:t xml:space="preserve">relation to Conversion therapy and </w:t>
      </w:r>
      <w:r w:rsidR="00104AFB">
        <w:t>the Commission has</w:t>
      </w:r>
      <w:r w:rsidR="004F5097">
        <w:t xml:space="preserve"> written to some UK Ministers regarding the equality impact of </w:t>
      </w:r>
      <w:r w:rsidR="00A77DEE">
        <w:t xml:space="preserve">raising </w:t>
      </w:r>
      <w:r w:rsidR="004F5097">
        <w:t>the retirement age, Sharia-</w:t>
      </w:r>
      <w:r w:rsidR="00A77DEE">
        <w:t>compliant student loans</w:t>
      </w:r>
      <w:r w:rsidR="004F5097">
        <w:t>, and PSED</w:t>
      </w:r>
      <w:r w:rsidR="00A77DEE">
        <w:t>. In Wales, on H</w:t>
      </w:r>
      <w:r w:rsidR="004F5097">
        <w:t xml:space="preserve">uman Rights </w:t>
      </w:r>
      <w:r w:rsidR="00A77DEE">
        <w:t xml:space="preserve">Day, </w:t>
      </w:r>
      <w:r w:rsidR="004F5097">
        <w:t xml:space="preserve">the Commission </w:t>
      </w:r>
      <w:r w:rsidR="00A77DEE">
        <w:t xml:space="preserve">published </w:t>
      </w:r>
      <w:r w:rsidR="004F5097">
        <w:t xml:space="preserve">their Human Rights Tracker and spoke at an event in Swansea. </w:t>
      </w:r>
    </w:p>
    <w:p w14:paraId="71F435BC" w14:textId="4D36754E" w:rsidR="004F5097" w:rsidRDefault="009F2F8B" w:rsidP="00375C1F">
      <w:pPr>
        <w:spacing w:line="240" w:lineRule="auto"/>
        <w:ind w:left="720" w:hanging="720"/>
      </w:pPr>
      <w:r>
        <w:t>7</w:t>
      </w:r>
      <w:r w:rsidR="004F5097">
        <w:t xml:space="preserve">.3 </w:t>
      </w:r>
      <w:r w:rsidR="004F5097">
        <w:tab/>
        <w:t xml:space="preserve">The </w:t>
      </w:r>
      <w:r w:rsidR="004F5097" w:rsidRPr="00747D9F">
        <w:rPr>
          <w:i/>
        </w:rPr>
        <w:t>CEO</w:t>
      </w:r>
      <w:r w:rsidR="004F5097">
        <w:t xml:space="preserve"> provided an update on internal and corporate affairs, explaining that there has been some re-structuring of the organisation and work to better coordinate issues in GB, Wales and Scotland. The staff survey is now closed and received a good response rate, the results of which will be shared with the Wales Committee in due course. </w:t>
      </w:r>
    </w:p>
    <w:p w14:paraId="798AFEE6" w14:textId="70007B4D" w:rsidR="00A77DEE" w:rsidRDefault="009F2F8B" w:rsidP="00375C1F">
      <w:pPr>
        <w:spacing w:line="240" w:lineRule="auto"/>
        <w:ind w:left="720" w:hanging="720"/>
      </w:pPr>
      <w:r>
        <w:t>7</w:t>
      </w:r>
      <w:r w:rsidR="004F5097">
        <w:t xml:space="preserve">.4 </w:t>
      </w:r>
      <w:r w:rsidR="004F5097">
        <w:tab/>
        <w:t xml:space="preserve">The </w:t>
      </w:r>
      <w:r w:rsidR="004F5097" w:rsidRPr="00747D9F">
        <w:rPr>
          <w:i/>
        </w:rPr>
        <w:t>CEO</w:t>
      </w:r>
      <w:r w:rsidR="004F5097">
        <w:t xml:space="preserve"> handed over to </w:t>
      </w:r>
      <w:r w:rsidR="004F5097" w:rsidRPr="004F5097">
        <w:rPr>
          <w:i/>
        </w:rPr>
        <w:t>Chief Strategy and Policy Officer</w:t>
      </w:r>
      <w:r w:rsidR="004F5097">
        <w:t xml:space="preserve"> to provide an update on</w:t>
      </w:r>
      <w:r w:rsidR="00312C12">
        <w:t xml:space="preserve"> gender reassignment, as discussed at the last Board meeting.</w:t>
      </w:r>
      <w:r w:rsidR="0013283A">
        <w:t xml:space="preserve"> The Wales Committee offered insights on the Wales context in relation to the issue. </w:t>
      </w:r>
    </w:p>
    <w:p w14:paraId="6788328A" w14:textId="42BDA7A8" w:rsidR="0030103A" w:rsidRDefault="009F2F8B" w:rsidP="00375C1F">
      <w:pPr>
        <w:pStyle w:val="Heading2"/>
      </w:pPr>
      <w:bookmarkStart w:id="20" w:name="_Toc97902463"/>
      <w:r>
        <w:t>8</w:t>
      </w:r>
      <w:r w:rsidR="008431C5">
        <w:t xml:space="preserve">. </w:t>
      </w:r>
      <w:r w:rsidR="008431C5" w:rsidRPr="008431C5">
        <w:t>EHRC Regulatory Functions (EHRC WC 60.06)</w:t>
      </w:r>
      <w:bookmarkEnd w:id="20"/>
    </w:p>
    <w:p w14:paraId="02A54583" w14:textId="2A3BC210" w:rsidR="00AD60EE" w:rsidRDefault="009F2F8B" w:rsidP="00375C1F">
      <w:pPr>
        <w:spacing w:line="240" w:lineRule="auto"/>
        <w:ind w:left="720" w:hanging="720"/>
      </w:pPr>
      <w:bookmarkStart w:id="21" w:name="_Toc66435627"/>
      <w:r>
        <w:rPr>
          <w:rFonts w:cstheme="minorHAnsi"/>
          <w:szCs w:val="24"/>
        </w:rPr>
        <w:t>8</w:t>
      </w:r>
      <w:r w:rsidR="005B53B8">
        <w:rPr>
          <w:rFonts w:cstheme="minorHAnsi"/>
          <w:szCs w:val="24"/>
        </w:rPr>
        <w:t xml:space="preserve">.1 </w:t>
      </w:r>
      <w:r w:rsidR="005B53B8">
        <w:rPr>
          <w:rFonts w:cstheme="minorHAnsi"/>
          <w:szCs w:val="24"/>
        </w:rPr>
        <w:tab/>
      </w:r>
      <w:r w:rsidR="00AD60EE" w:rsidRPr="00ED16E9">
        <w:rPr>
          <w:i/>
        </w:rPr>
        <w:t xml:space="preserve">Director of </w:t>
      </w:r>
      <w:r w:rsidR="00D1693B">
        <w:rPr>
          <w:i/>
        </w:rPr>
        <w:t>Regulation</w:t>
      </w:r>
      <w:r w:rsidR="00AD60EE">
        <w:rPr>
          <w:i/>
        </w:rPr>
        <w:t xml:space="preserve"> </w:t>
      </w:r>
      <w:r w:rsidR="00AD60EE">
        <w:t xml:space="preserve">provided an update to the Wales Committee regarding the Commission’s function as a regulator. In the process of developing the new Strategic Plan the Commission has articulated the aim of becoming a more effective regulator. This represents a stepping-up and a </w:t>
      </w:r>
      <w:r w:rsidR="00A50EA1">
        <w:t xml:space="preserve">centralisation of </w:t>
      </w:r>
      <w:r w:rsidR="00AD60EE">
        <w:t>reg</w:t>
      </w:r>
      <w:r w:rsidR="00A50EA1">
        <w:t>ulatory work</w:t>
      </w:r>
      <w:r w:rsidR="00D050A1">
        <w:t>,</w:t>
      </w:r>
      <w:r w:rsidR="00A50EA1">
        <w:t xml:space="preserve"> </w:t>
      </w:r>
      <w:r w:rsidR="00D050A1">
        <w:t>including making regulation</w:t>
      </w:r>
      <w:r w:rsidR="00A50EA1">
        <w:t xml:space="preserve"> the Commission’s</w:t>
      </w:r>
      <w:r w:rsidR="00AD60EE">
        <w:t xml:space="preserve"> driving force. This is with a view to increase confidence that equality and human rights exists in a regulated space and that non-compliance will have conse</w:t>
      </w:r>
      <w:r w:rsidR="00A50EA1">
        <w:t>quenc</w:t>
      </w:r>
      <w:r w:rsidR="00D050A1">
        <w:t>es and implications, as well as</w:t>
      </w:r>
      <w:r w:rsidR="00D777DA">
        <w:t xml:space="preserve"> giving</w:t>
      </w:r>
      <w:r w:rsidR="00AD60EE">
        <w:t xml:space="preserve"> peop</w:t>
      </w:r>
      <w:r w:rsidR="00A50EA1">
        <w:t>le confidence that the EHRC are using their</w:t>
      </w:r>
      <w:r w:rsidR="00AD60EE">
        <w:t xml:space="preserve"> full</w:t>
      </w:r>
      <w:r w:rsidR="00A50EA1">
        <w:t xml:space="preserve"> suite of powers available</w:t>
      </w:r>
      <w:r w:rsidR="00AD60EE">
        <w:t xml:space="preserve">. </w:t>
      </w:r>
      <w:r w:rsidR="00A50EA1">
        <w:t>It will also h</w:t>
      </w:r>
      <w:r w:rsidR="00AD60EE">
        <w:t xml:space="preserve">elp people to feel that their rights are protected. </w:t>
      </w:r>
    </w:p>
    <w:p w14:paraId="528B4998" w14:textId="0DB7BD17" w:rsidR="00AD60EE" w:rsidRDefault="009F2F8B" w:rsidP="00375C1F">
      <w:pPr>
        <w:spacing w:line="240" w:lineRule="auto"/>
        <w:ind w:left="720" w:hanging="720"/>
      </w:pPr>
      <w:r>
        <w:t>8</w:t>
      </w:r>
      <w:r w:rsidR="00AD60EE">
        <w:t xml:space="preserve">.2 </w:t>
      </w:r>
      <w:r w:rsidR="00AD60EE">
        <w:tab/>
      </w:r>
      <w:r w:rsidR="00D777DA">
        <w:t>The</w:t>
      </w:r>
      <w:r w:rsidR="00AD60EE">
        <w:t xml:space="preserve"> paper being pr</w:t>
      </w:r>
      <w:r w:rsidR="00D777DA">
        <w:t xml:space="preserve">esented </w:t>
      </w:r>
      <w:r w:rsidR="000F4FBA">
        <w:t>included</w:t>
      </w:r>
      <w:r w:rsidR="00AD60EE">
        <w:t xml:space="preserve"> some wider conte</w:t>
      </w:r>
      <w:r w:rsidR="00D777DA">
        <w:t xml:space="preserve">xt on regulation </w:t>
      </w:r>
      <w:r w:rsidR="00AD60EE">
        <w:t xml:space="preserve">including how the EHRC sits alongside other regulators. </w:t>
      </w:r>
      <w:r w:rsidR="00D777DA">
        <w:t xml:space="preserve">It builds on </w:t>
      </w:r>
      <w:r w:rsidR="00AD60EE">
        <w:t>the Commission’s new end-</w:t>
      </w:r>
      <w:r w:rsidR="00A50EA1">
        <w:t xml:space="preserve">to-end model which sets out </w:t>
      </w:r>
      <w:r w:rsidR="00AD60EE">
        <w:t>powers from prevention</w:t>
      </w:r>
      <w:r w:rsidR="00A50EA1">
        <w:t>,</w:t>
      </w:r>
      <w:r w:rsidR="00AD60EE">
        <w:t xml:space="preserve"> to compliance</w:t>
      </w:r>
      <w:r w:rsidR="00A50EA1">
        <w:t>,</w:t>
      </w:r>
      <w:r w:rsidR="00AD60EE">
        <w:t xml:space="preserve"> to remedial action.</w:t>
      </w:r>
    </w:p>
    <w:p w14:paraId="27290083" w14:textId="114F6B4D" w:rsidR="00AD60EE" w:rsidRDefault="009F2F8B" w:rsidP="00375C1F">
      <w:pPr>
        <w:spacing w:line="240" w:lineRule="auto"/>
        <w:ind w:left="720" w:hanging="720"/>
      </w:pPr>
      <w:r>
        <w:t>8</w:t>
      </w:r>
      <w:r w:rsidR="009E5527">
        <w:t>.3</w:t>
      </w:r>
      <w:r w:rsidR="00AD60EE">
        <w:t xml:space="preserve"> </w:t>
      </w:r>
      <w:r w:rsidR="00AD60EE">
        <w:tab/>
      </w:r>
      <w:r w:rsidR="00EF70AC">
        <w:t>The Commission</w:t>
      </w:r>
      <w:r w:rsidR="00D777DA">
        <w:t xml:space="preserve"> </w:t>
      </w:r>
      <w:r w:rsidR="000F4FBA">
        <w:t>intends to</w:t>
      </w:r>
      <w:r w:rsidR="00D777DA">
        <w:t xml:space="preserve"> use</w:t>
      </w:r>
      <w:r w:rsidR="002714EC">
        <w:t xml:space="preserve"> their</w:t>
      </w:r>
      <w:r w:rsidR="00AD60EE">
        <w:t xml:space="preserve"> powers and levers more </w:t>
      </w:r>
      <w:r w:rsidR="00D777DA">
        <w:t xml:space="preserve">holistically, </w:t>
      </w:r>
      <w:r w:rsidR="00AD60EE">
        <w:t>looking at every issue in terms of the best regulatory approach that could be use</w:t>
      </w:r>
      <w:r w:rsidR="00EF70AC">
        <w:t>d. For example, the Commission</w:t>
      </w:r>
      <w:r w:rsidR="00AD60EE">
        <w:t xml:space="preserve"> wish</w:t>
      </w:r>
      <w:r w:rsidR="00EF70AC">
        <w:t xml:space="preserve">es to enhance </w:t>
      </w:r>
      <w:r w:rsidR="00AD60EE">
        <w:t>understand</w:t>
      </w:r>
      <w:r w:rsidR="00D777DA">
        <w:t>ing of</w:t>
      </w:r>
      <w:r w:rsidR="00AD60EE">
        <w:t xml:space="preserve"> compliance wit</w:t>
      </w:r>
      <w:r w:rsidR="00EF70AC">
        <w:t xml:space="preserve">h the PSED in England </w:t>
      </w:r>
      <w:r w:rsidR="00D777DA">
        <w:t xml:space="preserve">in line with the picture currently held in Wales. </w:t>
      </w:r>
      <w:r w:rsidR="00AD60EE">
        <w:t xml:space="preserve">This work will then inform where </w:t>
      </w:r>
      <w:r w:rsidR="00EF70AC">
        <w:t xml:space="preserve">follow-up activity is targeted. The Commission is also looking to improve its </w:t>
      </w:r>
      <w:r w:rsidR="00AD60EE">
        <w:t>ability to share good practice and b</w:t>
      </w:r>
      <w:r w:rsidR="00EF70AC">
        <w:t>uild compliance, informed by joined-</w:t>
      </w:r>
      <w:r w:rsidR="00AD60EE">
        <w:t xml:space="preserve">up intelligence and </w:t>
      </w:r>
      <w:r w:rsidR="002714EC">
        <w:t xml:space="preserve">a programme of PSED monitoring. </w:t>
      </w:r>
      <w:r w:rsidR="00EF70AC">
        <w:t xml:space="preserve">Partnership working will be mapped alongside the Strategic Plan, such that the Commission becomes </w:t>
      </w:r>
      <w:r w:rsidR="00AD60EE">
        <w:t xml:space="preserve">part of an active community of regulators across GB as a whole. </w:t>
      </w:r>
    </w:p>
    <w:p w14:paraId="4B0CABC3" w14:textId="22AEA4C0" w:rsidR="00AD60EE" w:rsidRDefault="009F2F8B" w:rsidP="00375C1F">
      <w:pPr>
        <w:spacing w:line="240" w:lineRule="auto"/>
        <w:ind w:left="720" w:hanging="720"/>
      </w:pPr>
      <w:r>
        <w:lastRenderedPageBreak/>
        <w:t>8</w:t>
      </w:r>
      <w:r w:rsidR="009E5527">
        <w:t>.4</w:t>
      </w:r>
      <w:r w:rsidR="00AD60EE">
        <w:t xml:space="preserve"> </w:t>
      </w:r>
      <w:r w:rsidR="00AD60EE">
        <w:tab/>
      </w:r>
      <w:r w:rsidR="00AD60EE" w:rsidRPr="00ED16E9">
        <w:rPr>
          <w:i/>
        </w:rPr>
        <w:t>Director of Compliance</w:t>
      </w:r>
      <w:r w:rsidR="00AD60EE">
        <w:rPr>
          <w:i/>
        </w:rPr>
        <w:t xml:space="preserve"> </w:t>
      </w:r>
      <w:r w:rsidR="00AD60EE">
        <w:t xml:space="preserve">noted that these are the key points from the paper, which was received by the Wales Committee in draft format. </w:t>
      </w:r>
      <w:r w:rsidR="00AD60EE" w:rsidRPr="00ED16E9">
        <w:rPr>
          <w:i/>
        </w:rPr>
        <w:t>Director of Compliance</w:t>
      </w:r>
      <w:r w:rsidR="00AD60EE">
        <w:rPr>
          <w:i/>
        </w:rPr>
        <w:t xml:space="preserve"> </w:t>
      </w:r>
      <w:r w:rsidR="00AD60EE">
        <w:t xml:space="preserve">invited comments from the Wales Committee. </w:t>
      </w:r>
    </w:p>
    <w:p w14:paraId="21E6330A" w14:textId="0E64DB62" w:rsidR="00641C52" w:rsidRPr="00ED1EA1" w:rsidRDefault="009F2F8B" w:rsidP="00375C1F">
      <w:pPr>
        <w:spacing w:line="240" w:lineRule="auto"/>
        <w:ind w:left="720" w:hanging="720"/>
      </w:pPr>
      <w:r>
        <w:t>8</w:t>
      </w:r>
      <w:r w:rsidR="009E5527">
        <w:t>.5</w:t>
      </w:r>
      <w:r w:rsidR="00AD60EE">
        <w:t xml:space="preserve"> </w:t>
      </w:r>
      <w:r w:rsidR="00AD60EE">
        <w:tab/>
      </w:r>
      <w:r w:rsidR="00641C52">
        <w:t xml:space="preserve">The </w:t>
      </w:r>
      <w:r w:rsidR="00641C52">
        <w:rPr>
          <w:i/>
        </w:rPr>
        <w:t>Interim Chair</w:t>
      </w:r>
      <w:r w:rsidR="00641C52">
        <w:t xml:space="preserve"> of the Wales Committee offered thanks for the paper, noting that it aligns with the new CEO’s vision of the EHRC as a strong regulator. The </w:t>
      </w:r>
      <w:r w:rsidR="00641C52">
        <w:rPr>
          <w:i/>
        </w:rPr>
        <w:t xml:space="preserve">Interim Chair </w:t>
      </w:r>
      <w:r w:rsidR="00641C52">
        <w:t xml:space="preserve">drew attention to policy divergence between the nations in that there are more onerous responsibilities on the public sector in Wales compared to in England. </w:t>
      </w:r>
    </w:p>
    <w:p w14:paraId="68510450" w14:textId="2D24DA81" w:rsidR="00641C52" w:rsidRDefault="009F2F8B" w:rsidP="00375C1F">
      <w:pPr>
        <w:spacing w:line="240" w:lineRule="auto"/>
        <w:ind w:left="720" w:hanging="720"/>
      </w:pPr>
      <w:r>
        <w:t>8</w:t>
      </w:r>
      <w:r w:rsidR="009E5527">
        <w:t>.6</w:t>
      </w:r>
      <w:r w:rsidR="00AD60EE">
        <w:t xml:space="preserve"> </w:t>
      </w:r>
      <w:r w:rsidR="00AD60EE">
        <w:tab/>
      </w:r>
      <w:r w:rsidR="00641C52">
        <w:t xml:space="preserve">The Wales Committee remarked that the paper proposes increased monitoring of PSED compliance in England, querying what this means for resource levels in Scotland and Wales. </w:t>
      </w:r>
    </w:p>
    <w:p w14:paraId="3A7D5F0F" w14:textId="022859DB" w:rsidR="00641C52" w:rsidRDefault="009F2F8B" w:rsidP="00375C1F">
      <w:pPr>
        <w:spacing w:line="240" w:lineRule="auto"/>
        <w:ind w:left="720" w:hanging="720"/>
      </w:pPr>
      <w:r>
        <w:t>8</w:t>
      </w:r>
      <w:r w:rsidR="009E5527">
        <w:t>.7</w:t>
      </w:r>
      <w:r w:rsidR="00AD60EE">
        <w:t xml:space="preserve"> </w:t>
      </w:r>
      <w:r w:rsidR="00AD60EE">
        <w:tab/>
      </w:r>
      <w:r w:rsidR="00641C52" w:rsidRPr="00ED16E9">
        <w:rPr>
          <w:i/>
        </w:rPr>
        <w:t>Director of Compliance</w:t>
      </w:r>
      <w:r w:rsidR="00641C52">
        <w:rPr>
          <w:i/>
        </w:rPr>
        <w:t xml:space="preserve"> </w:t>
      </w:r>
      <w:r w:rsidR="00641C52">
        <w:t xml:space="preserve">reiterated that the Commission currently does not undertake as much work on PSED compliance in England as in other nations, partly because the sector is so large in England. The Commission hopes to create an equally comprehensive picture of PSED compliance in England as in Scotland and Wales, sharing resources and drawing on existing expertise. There is a desire to avoid setting an expectation that if something happens in one country, it is needed elsewhere too. The Senior Management Team in the Commission is keen to work closely with the </w:t>
      </w:r>
      <w:r w:rsidR="00641C52">
        <w:rPr>
          <w:i/>
        </w:rPr>
        <w:t>Head of Wales</w:t>
      </w:r>
      <w:r w:rsidR="00641C52">
        <w:t xml:space="preserve"> to ensure that the programme of activity is firmly in the Wales team’s timeline and planning, including anticipated stakeholder expectations and messaging. </w:t>
      </w:r>
    </w:p>
    <w:p w14:paraId="138A11AB" w14:textId="06C2E5F6" w:rsidR="00641C52" w:rsidRDefault="009F2F8B" w:rsidP="00375C1F">
      <w:pPr>
        <w:spacing w:line="240" w:lineRule="auto"/>
        <w:ind w:left="720" w:hanging="720"/>
      </w:pPr>
      <w:r>
        <w:t>8</w:t>
      </w:r>
      <w:r w:rsidR="009E5527">
        <w:t>.8</w:t>
      </w:r>
      <w:r w:rsidR="00AD60EE">
        <w:t xml:space="preserve"> </w:t>
      </w:r>
      <w:r w:rsidR="00AD60EE">
        <w:tab/>
      </w:r>
      <w:r w:rsidR="00641C52">
        <w:t xml:space="preserve">Wales Committee members highlighted that whilst resource allocation inevitably dictates work that is undertaken, it has always been difficult to undertake monitoring work in Wales due to monetary restraints. Monitoring work has historically not been as in depth as would have </w:t>
      </w:r>
      <w:r w:rsidR="007729ED">
        <w:t xml:space="preserve">been </w:t>
      </w:r>
      <w:r w:rsidR="00641C52">
        <w:t>liked</w:t>
      </w:r>
      <w:r w:rsidR="007729ED">
        <w:t xml:space="preserve"> </w:t>
      </w:r>
      <w:r w:rsidR="00641C52">
        <w:t xml:space="preserve">– hence the call in Wales to make the socio-economic duty (SED) and PSED more outcome-focused. Finally, with regards to the policy position outlined in the paper on influencing, it is important to acknowledge that this is a new direction for the Commission. It was suggested that Codes of Practice could be used to undertake some influencing work. </w:t>
      </w:r>
    </w:p>
    <w:p w14:paraId="74A8B3DA" w14:textId="66AA1284" w:rsidR="00641C52" w:rsidRDefault="009F2F8B" w:rsidP="00375C1F">
      <w:pPr>
        <w:spacing w:line="240" w:lineRule="auto"/>
        <w:ind w:left="720" w:hanging="720"/>
      </w:pPr>
      <w:r>
        <w:t>8</w:t>
      </w:r>
      <w:r w:rsidR="009E5527">
        <w:t>.9</w:t>
      </w:r>
      <w:r w:rsidR="00AD60EE">
        <w:t xml:space="preserve"> </w:t>
      </w:r>
      <w:r w:rsidR="00AD60EE">
        <w:tab/>
      </w:r>
      <w:r w:rsidR="00641C52" w:rsidRPr="00ED16E9">
        <w:rPr>
          <w:i/>
        </w:rPr>
        <w:t>Director of Compliance</w:t>
      </w:r>
      <w:r w:rsidR="00641C52">
        <w:rPr>
          <w:i/>
        </w:rPr>
        <w:t xml:space="preserve"> </w:t>
      </w:r>
      <w:r w:rsidR="00641C52">
        <w:t xml:space="preserve">agreed that the Commission is keen to use Codes of Practice when setting standards. The Commission will plan work that is useful in England, Wales and Scotland. Stepping-up monitoring of PSED in England is designed to be outcome-focused and meaningful. </w:t>
      </w:r>
    </w:p>
    <w:p w14:paraId="3075D7AE" w14:textId="1D756311" w:rsidR="00641C52" w:rsidRDefault="009F2F8B" w:rsidP="00375C1F">
      <w:pPr>
        <w:spacing w:line="240" w:lineRule="auto"/>
        <w:ind w:left="720" w:hanging="720"/>
      </w:pPr>
      <w:r>
        <w:lastRenderedPageBreak/>
        <w:t>8</w:t>
      </w:r>
      <w:r w:rsidR="009E5527">
        <w:t>.10</w:t>
      </w:r>
      <w:r w:rsidR="00AD60EE">
        <w:t xml:space="preserve"> </w:t>
      </w:r>
      <w:r w:rsidR="00AD60EE">
        <w:tab/>
      </w:r>
      <w:r w:rsidR="00641C52">
        <w:t xml:space="preserve">The </w:t>
      </w:r>
      <w:r w:rsidR="00641C52">
        <w:rPr>
          <w:i/>
        </w:rPr>
        <w:t>CEO</w:t>
      </w:r>
      <w:r w:rsidR="00641C52">
        <w:t xml:space="preserve"> noted that he hopes that over time, as links between the nations become even stronger, resources from across the Commission can be drawn upon across nations rather than being compartmentalised. In terms of influencing, it is important to distinguish between influencing and campaigning. The Commission has a great deal of influence in terms of encouraging policy makers to be mindful of their responsibilities under the law and PSED, and in terms of encouraging inclusivity. Influencing is a word that can and should be used to describe what the Commission does, but not in a campaigning or antagonistic manner. The EHRC should be seen by policy makers as the expert body. </w:t>
      </w:r>
    </w:p>
    <w:p w14:paraId="663B4FC4" w14:textId="36803CF9" w:rsidR="00641C52" w:rsidRDefault="009F2F8B" w:rsidP="00375C1F">
      <w:pPr>
        <w:spacing w:line="240" w:lineRule="auto"/>
        <w:ind w:left="720" w:hanging="720"/>
      </w:pPr>
      <w:r>
        <w:t>8</w:t>
      </w:r>
      <w:r w:rsidR="009E5527">
        <w:t>.11</w:t>
      </w:r>
      <w:r w:rsidR="00AD60EE">
        <w:t xml:space="preserve"> </w:t>
      </w:r>
      <w:r w:rsidR="00AD60EE">
        <w:tab/>
      </w:r>
      <w:r w:rsidR="00641C52">
        <w:t xml:space="preserve">Wales Committee members advised that the paper in its current form makes it very clear that the Commission does not intend to take on an influencing capacity. If this is not the case, this needs to be clarified moving forward. Members also requested further clarification regarding what regulation means in terms of human rights, and how this might change in the future. </w:t>
      </w:r>
    </w:p>
    <w:p w14:paraId="543D5C32" w14:textId="5DFA3E94" w:rsidR="00641C52" w:rsidRPr="00F82ED6" w:rsidRDefault="009F2F8B" w:rsidP="00375C1F">
      <w:pPr>
        <w:spacing w:line="240" w:lineRule="auto"/>
        <w:ind w:left="720" w:hanging="720"/>
      </w:pPr>
      <w:r>
        <w:t>8</w:t>
      </w:r>
      <w:r w:rsidR="009E5527">
        <w:t>.12</w:t>
      </w:r>
      <w:r w:rsidR="00AD60EE">
        <w:tab/>
      </w:r>
      <w:r w:rsidR="00641C52">
        <w:t xml:space="preserve">The </w:t>
      </w:r>
      <w:r w:rsidR="00641C52" w:rsidRPr="00ED16E9">
        <w:rPr>
          <w:i/>
        </w:rPr>
        <w:t>Director of Compliance</w:t>
      </w:r>
      <w:r w:rsidR="00641C52">
        <w:rPr>
          <w:i/>
        </w:rPr>
        <w:t xml:space="preserve"> </w:t>
      </w:r>
      <w:r w:rsidR="00641C52">
        <w:t xml:space="preserve">agreed that the Commission is more confident when thinking about regulation in terms of the Equality Act rather than with regard to human rights. This is something the Commission is </w:t>
      </w:r>
      <w:r w:rsidR="00363E3F">
        <w:t>reflecting</w:t>
      </w:r>
      <w:r w:rsidR="00F414D8">
        <w:t xml:space="preserve"> </w:t>
      </w:r>
      <w:r w:rsidR="00363E3F">
        <w:t>up</w:t>
      </w:r>
      <w:r w:rsidR="00F414D8">
        <w:t>on</w:t>
      </w:r>
      <w:r w:rsidR="00363E3F">
        <w:t xml:space="preserve">, </w:t>
      </w:r>
      <w:r w:rsidR="00641C52">
        <w:t xml:space="preserve">with the aim of becoming clearer on the work that needs to be completed on regulation and human rights, such as through gaining intelligence via legal channels. </w:t>
      </w:r>
    </w:p>
    <w:p w14:paraId="0240C08D" w14:textId="02EF8FC2" w:rsidR="00AD60EE" w:rsidRDefault="009F2F8B" w:rsidP="00375C1F">
      <w:pPr>
        <w:spacing w:line="240" w:lineRule="auto"/>
        <w:ind w:left="720" w:hanging="720"/>
      </w:pPr>
      <w:r>
        <w:t>8</w:t>
      </w:r>
      <w:r w:rsidR="009E5527">
        <w:t>.13</w:t>
      </w:r>
      <w:r w:rsidR="00AD60EE">
        <w:tab/>
        <w:t xml:space="preserve">The </w:t>
      </w:r>
      <w:r w:rsidR="00AD60EE">
        <w:rPr>
          <w:i/>
        </w:rPr>
        <w:t>Interim Chair</w:t>
      </w:r>
      <w:r w:rsidR="00AD60EE">
        <w:t xml:space="preserve"> noted that is it heartening to hear such searching questions about </w:t>
      </w:r>
      <w:r w:rsidR="00165E89">
        <w:t xml:space="preserve">how </w:t>
      </w:r>
      <w:r w:rsidR="00AD60EE">
        <w:t>the Commission engages with their requirements in terms of human rights and</w:t>
      </w:r>
      <w:r w:rsidR="00165E89">
        <w:t xml:space="preserve"> how this relates to our NHRI Re-accreditation.</w:t>
      </w:r>
      <w:r w:rsidR="00AD60EE">
        <w:t xml:space="preserve"> </w:t>
      </w:r>
    </w:p>
    <w:p w14:paraId="6C8E9E78" w14:textId="26CA8BC1" w:rsidR="00641C52" w:rsidRDefault="009F2F8B" w:rsidP="00375C1F">
      <w:pPr>
        <w:spacing w:line="240" w:lineRule="auto"/>
        <w:ind w:left="720" w:hanging="720"/>
      </w:pPr>
      <w:r>
        <w:t>8</w:t>
      </w:r>
      <w:r w:rsidR="009E5527">
        <w:t>.14</w:t>
      </w:r>
      <w:r w:rsidR="00AD60EE">
        <w:t xml:space="preserve"> </w:t>
      </w:r>
      <w:r w:rsidR="00AD60EE">
        <w:tab/>
        <w:t xml:space="preserve">The Wales Committee were invited to submit further comments on the EHRC’s regulatory functions via email, either directly to the </w:t>
      </w:r>
      <w:r w:rsidR="00AD60EE" w:rsidRPr="00ED16E9">
        <w:rPr>
          <w:i/>
        </w:rPr>
        <w:t>Director of Compliance</w:t>
      </w:r>
      <w:r w:rsidR="00AD60EE">
        <w:rPr>
          <w:i/>
        </w:rPr>
        <w:t xml:space="preserve"> </w:t>
      </w:r>
      <w:r w:rsidR="00AD60EE">
        <w:t xml:space="preserve">or via the Committee’s Secretary. </w:t>
      </w:r>
    </w:p>
    <w:p w14:paraId="230E32ED" w14:textId="551473BE" w:rsidR="00641C52" w:rsidRDefault="009F2F8B" w:rsidP="00375C1F">
      <w:pPr>
        <w:pStyle w:val="Heading2"/>
      </w:pPr>
      <w:bookmarkStart w:id="22" w:name="_Toc97902464"/>
      <w:r>
        <w:t>9</w:t>
      </w:r>
      <w:r w:rsidR="00641C52">
        <w:t xml:space="preserve">. </w:t>
      </w:r>
      <w:r w:rsidR="00641C52" w:rsidRPr="00613B96">
        <w:t>Conversion Therapy (EHRC WC 60.07)</w:t>
      </w:r>
      <w:bookmarkEnd w:id="22"/>
    </w:p>
    <w:p w14:paraId="584F426D" w14:textId="64D4A9C3" w:rsidR="00641C52" w:rsidRPr="005F43EC" w:rsidRDefault="009F2F8B" w:rsidP="00375C1F">
      <w:pPr>
        <w:spacing w:line="240" w:lineRule="auto"/>
        <w:ind w:left="720" w:hanging="720"/>
        <w:rPr>
          <w:i/>
        </w:rPr>
      </w:pPr>
      <w:r>
        <w:t>9</w:t>
      </w:r>
      <w:r w:rsidR="005F43EC" w:rsidRPr="009F2F8B">
        <w:t>.1</w:t>
      </w:r>
      <w:r w:rsidR="005F43EC">
        <w:rPr>
          <w:i/>
        </w:rPr>
        <w:tab/>
      </w:r>
      <w:r w:rsidR="00641C52" w:rsidRPr="004E7F0F">
        <w:rPr>
          <w:i/>
        </w:rPr>
        <w:t>Chief Strategy and Policy Officer</w:t>
      </w:r>
      <w:r w:rsidR="00641C52">
        <w:t xml:space="preserve"> outlined to the Wales Committee that since the Commission’s statutory Committee</w:t>
      </w:r>
      <w:r w:rsidR="00805971">
        <w:t>s</w:t>
      </w:r>
      <w:r w:rsidR="00641C52">
        <w:t xml:space="preserve"> and Board last discussed the issue of Conversion Therapy</w:t>
      </w:r>
      <w:r w:rsidR="00805971">
        <w:t xml:space="preserve">, the UK Government has </w:t>
      </w:r>
      <w:r w:rsidR="00641C52">
        <w:t>launched a public consultation on limiting the use of Conversion Therapy. This consultation is due to remain open until 4 February. The Wales Committee is asked to provide feedback on the Commission’s draft consultation response which will also be discussed at the upcoming Board meeting.</w:t>
      </w:r>
    </w:p>
    <w:p w14:paraId="7AB8E811" w14:textId="00C1CF1E" w:rsidR="00641C52" w:rsidRDefault="009F2F8B" w:rsidP="00375C1F">
      <w:pPr>
        <w:spacing w:line="240" w:lineRule="auto"/>
        <w:ind w:left="720" w:hanging="720"/>
      </w:pPr>
      <w:r>
        <w:t>9</w:t>
      </w:r>
      <w:r w:rsidR="005F43EC">
        <w:t>.2</w:t>
      </w:r>
      <w:r w:rsidR="005F43EC">
        <w:tab/>
      </w:r>
      <w:r w:rsidR="00641C52">
        <w:t xml:space="preserve">The </w:t>
      </w:r>
      <w:r w:rsidR="00641C52" w:rsidRPr="004E7F0F">
        <w:rPr>
          <w:i/>
        </w:rPr>
        <w:t>Chief Strategy and Policy Officer</w:t>
      </w:r>
      <w:r w:rsidR="00641C52">
        <w:rPr>
          <w:i/>
        </w:rPr>
        <w:t xml:space="preserve"> </w:t>
      </w:r>
      <w:r w:rsidR="00641C52">
        <w:t xml:space="preserve">outlined the Commission’s proposed position on limiting the use of Conversion Therapy. </w:t>
      </w:r>
      <w:r w:rsidR="005F43EC">
        <w:t>The Wales Committee noted that the issue of Conver</w:t>
      </w:r>
      <w:r w:rsidR="00003C3F">
        <w:t>sion Therapy is highly nuanced</w:t>
      </w:r>
      <w:r w:rsidR="00664181">
        <w:t xml:space="preserve"> and discussed issues of consent, harm, criminalisation and practice.</w:t>
      </w:r>
      <w:r w:rsidR="005F43EC">
        <w:t xml:space="preserve"> </w:t>
      </w:r>
    </w:p>
    <w:p w14:paraId="1886745D" w14:textId="29E98CE7" w:rsidR="005F43EC" w:rsidRDefault="009F2F8B" w:rsidP="00375C1F">
      <w:pPr>
        <w:spacing w:line="240" w:lineRule="auto"/>
        <w:ind w:left="720" w:hanging="720"/>
      </w:pPr>
      <w:r>
        <w:lastRenderedPageBreak/>
        <w:t>9.3</w:t>
      </w:r>
      <w:r w:rsidR="005F43EC">
        <w:tab/>
        <w:t xml:space="preserve">The </w:t>
      </w:r>
      <w:r w:rsidR="005F43EC" w:rsidRPr="004E7F0F">
        <w:rPr>
          <w:i/>
        </w:rPr>
        <w:t>Chief Strategy and Policy Officer</w:t>
      </w:r>
      <w:r w:rsidR="005F43EC">
        <w:rPr>
          <w:i/>
        </w:rPr>
        <w:t xml:space="preserve"> </w:t>
      </w:r>
      <w:r w:rsidR="005F43EC">
        <w:t xml:space="preserve">thanked all Wales Committee members for their comments. </w:t>
      </w:r>
    </w:p>
    <w:p w14:paraId="4FE1BD58" w14:textId="4DDC5A77" w:rsidR="00641C52" w:rsidRDefault="009F2F8B" w:rsidP="00375C1F">
      <w:pPr>
        <w:pStyle w:val="Heading2"/>
      </w:pPr>
      <w:bookmarkStart w:id="23" w:name="_Toc97902465"/>
      <w:r>
        <w:t>10</w:t>
      </w:r>
      <w:r w:rsidR="00641C52">
        <w:t xml:space="preserve">. </w:t>
      </w:r>
      <w:r w:rsidR="008061E5" w:rsidRPr="008061E5">
        <w:t>Social Care Inquiry (EHRC WC 60.08)</w:t>
      </w:r>
      <w:bookmarkEnd w:id="23"/>
    </w:p>
    <w:p w14:paraId="1FEDD710" w14:textId="4C1D5BCB" w:rsidR="001834AB" w:rsidRDefault="009F2F8B" w:rsidP="00375C1F">
      <w:pPr>
        <w:spacing w:line="240" w:lineRule="auto"/>
        <w:ind w:left="720" w:hanging="720"/>
      </w:pPr>
      <w:r>
        <w:t>10</w:t>
      </w:r>
      <w:r w:rsidR="001834AB">
        <w:t xml:space="preserve">.1 </w:t>
      </w:r>
      <w:r w:rsidR="001834AB">
        <w:tab/>
      </w:r>
      <w:r w:rsidR="00EF6CCC" w:rsidRPr="00EF6CCC">
        <w:rPr>
          <w:i/>
        </w:rPr>
        <w:t>Senior Associate, Wales</w:t>
      </w:r>
      <w:r w:rsidR="00EF6CCC">
        <w:t xml:space="preserve"> provided an updated on the on-going Social Care Inquiry. The inq</w:t>
      </w:r>
      <w:r w:rsidR="001834AB">
        <w:t>u</w:t>
      </w:r>
      <w:r w:rsidR="00EF6CCC">
        <w:t>i</w:t>
      </w:r>
      <w:r w:rsidR="00F66C6E">
        <w:t>ry is looking</w:t>
      </w:r>
      <w:r w:rsidR="001834AB">
        <w:t xml:space="preserve"> at</w:t>
      </w:r>
      <w:r w:rsidR="00EF6CCC">
        <w:t xml:space="preserve"> </w:t>
      </w:r>
      <w:r w:rsidR="001834AB">
        <w:t xml:space="preserve">how </w:t>
      </w:r>
      <w:r w:rsidR="00EF6CCC">
        <w:t xml:space="preserve">older and disabled </w:t>
      </w:r>
      <w:r w:rsidR="001834AB">
        <w:t xml:space="preserve">adults are able to challenge </w:t>
      </w:r>
      <w:r w:rsidR="00EF6CCC">
        <w:t xml:space="preserve">social care </w:t>
      </w:r>
      <w:r w:rsidR="001834AB">
        <w:t xml:space="preserve">decisions in England and wales. </w:t>
      </w:r>
      <w:r w:rsidR="00EF6CCC">
        <w:t xml:space="preserve">The Commission is exploring means of challenge, whether avenues for challenge </w:t>
      </w:r>
      <w:r w:rsidR="001834AB">
        <w:t xml:space="preserve">are </w:t>
      </w:r>
      <w:r w:rsidR="00EF6CCC">
        <w:t>accessible</w:t>
      </w:r>
      <w:r w:rsidR="001834AB">
        <w:t xml:space="preserve">, </w:t>
      </w:r>
      <w:r w:rsidR="00EF6CCC">
        <w:t xml:space="preserve">whether individuals have enough information, and if they can access advocacy support. </w:t>
      </w:r>
    </w:p>
    <w:p w14:paraId="2FB9240F" w14:textId="0A05DB89" w:rsidR="00EF6CCC" w:rsidRDefault="009F2F8B" w:rsidP="00375C1F">
      <w:pPr>
        <w:spacing w:line="240" w:lineRule="auto"/>
        <w:ind w:left="720" w:hanging="720"/>
      </w:pPr>
      <w:r>
        <w:t>10</w:t>
      </w:r>
      <w:r w:rsidR="00EF6CCC">
        <w:t>.2</w:t>
      </w:r>
      <w:r w:rsidR="00EF6CCC">
        <w:tab/>
        <w:t xml:space="preserve">The inquiry launched in July and is in the final stages of the evidence-gathering stage. </w:t>
      </w:r>
      <w:r w:rsidR="00F66C6E" w:rsidRPr="00EF6CCC">
        <w:rPr>
          <w:i/>
        </w:rPr>
        <w:t>Senior Associate, Wale</w:t>
      </w:r>
      <w:r w:rsidR="00F66C6E">
        <w:rPr>
          <w:i/>
        </w:rPr>
        <w:t xml:space="preserve">s </w:t>
      </w:r>
      <w:r w:rsidR="00F66C6E">
        <w:t xml:space="preserve">provided the Wales Committee with an update on initial findings. </w:t>
      </w:r>
    </w:p>
    <w:p w14:paraId="4CC4E5E4" w14:textId="128BFF83" w:rsidR="001834AB" w:rsidRPr="00E561F0" w:rsidRDefault="009F2F8B" w:rsidP="00375C1F">
      <w:pPr>
        <w:spacing w:line="240" w:lineRule="auto"/>
        <w:ind w:left="720" w:hanging="720"/>
      </w:pPr>
      <w:r>
        <w:t>10</w:t>
      </w:r>
      <w:r w:rsidR="00F66C6E">
        <w:t xml:space="preserve">.3 </w:t>
      </w:r>
      <w:r w:rsidR="00540640">
        <w:tab/>
        <w:t xml:space="preserve">The Wales Committee were grateful for the paper and oral update on the Social Care Inquiry and discussed the interim findings presented. The </w:t>
      </w:r>
      <w:r w:rsidR="00540640" w:rsidRPr="00540640">
        <w:rPr>
          <w:i/>
        </w:rPr>
        <w:t xml:space="preserve">Interim Chair </w:t>
      </w:r>
      <w:r w:rsidR="00540640">
        <w:t>noted that the Inquiry has</w:t>
      </w:r>
      <w:r w:rsidR="00603C53">
        <w:t>, impressively,</w:t>
      </w:r>
      <w:r w:rsidR="00540640">
        <w:t xml:space="preserve"> be</w:t>
      </w:r>
      <w:r w:rsidR="00603C53">
        <w:t xml:space="preserve">en able to access practitioners during data collection. </w:t>
      </w:r>
    </w:p>
    <w:p w14:paraId="68DDCA78" w14:textId="30EA17E1" w:rsidR="00641C52" w:rsidRPr="00641C52" w:rsidRDefault="009F2F8B" w:rsidP="00375C1F">
      <w:pPr>
        <w:pStyle w:val="Heading2"/>
      </w:pPr>
      <w:bookmarkStart w:id="24" w:name="_Toc97902466"/>
      <w:bookmarkEnd w:id="21"/>
      <w:r>
        <w:t>11</w:t>
      </w:r>
      <w:r w:rsidR="0030103A">
        <w:t xml:space="preserve">. Head of Wales report </w:t>
      </w:r>
      <w:r w:rsidR="005C7DB6">
        <w:t>(</w:t>
      </w:r>
      <w:r w:rsidR="005C7DB6" w:rsidRPr="005C7DB6">
        <w:t>EHRC WC 60.09, EHRC WC 60.10)</w:t>
      </w:r>
      <w:bookmarkEnd w:id="24"/>
    </w:p>
    <w:p w14:paraId="30C0FA85" w14:textId="2C044FE3" w:rsidR="0030103A" w:rsidRDefault="009F2F8B" w:rsidP="00375C1F">
      <w:pPr>
        <w:spacing w:after="160" w:line="240" w:lineRule="auto"/>
        <w:ind w:left="720" w:hanging="720"/>
        <w:rPr>
          <w:rFonts w:cs="Arial"/>
          <w:bCs/>
          <w:szCs w:val="24"/>
        </w:rPr>
      </w:pPr>
      <w:r>
        <w:rPr>
          <w:rFonts w:cs="Arial"/>
          <w:bCs/>
          <w:szCs w:val="24"/>
        </w:rPr>
        <w:t>11</w:t>
      </w:r>
      <w:r w:rsidR="0030103A">
        <w:rPr>
          <w:rFonts w:cs="Arial"/>
          <w:bCs/>
          <w:szCs w:val="24"/>
        </w:rPr>
        <w:t xml:space="preserve">.1 </w:t>
      </w:r>
      <w:r w:rsidR="0030103A">
        <w:rPr>
          <w:rFonts w:cs="Arial"/>
          <w:bCs/>
          <w:szCs w:val="24"/>
        </w:rPr>
        <w:tab/>
      </w:r>
      <w:r w:rsidR="00DF013D" w:rsidRPr="00286DE3">
        <w:rPr>
          <w:rFonts w:cs="Arial"/>
          <w:bCs/>
          <w:i/>
          <w:szCs w:val="24"/>
        </w:rPr>
        <w:t>Head of Wales</w:t>
      </w:r>
      <w:r w:rsidR="00DF013D">
        <w:rPr>
          <w:rFonts w:cs="Arial"/>
          <w:bCs/>
          <w:szCs w:val="24"/>
        </w:rPr>
        <w:t xml:space="preserve"> requested comments from Committee members o</w:t>
      </w:r>
      <w:r w:rsidR="00286DE3">
        <w:rPr>
          <w:rFonts w:cs="Arial"/>
          <w:bCs/>
          <w:szCs w:val="24"/>
        </w:rPr>
        <w:t>n the Head of Wales report paper</w:t>
      </w:r>
      <w:r w:rsidR="00DF013D">
        <w:rPr>
          <w:rFonts w:cs="Arial"/>
          <w:bCs/>
          <w:szCs w:val="24"/>
        </w:rPr>
        <w:t xml:space="preserve">. No comments offered at this stage. </w:t>
      </w:r>
    </w:p>
    <w:p w14:paraId="2F74A2E9" w14:textId="3A184B2A" w:rsidR="00A102F4" w:rsidRPr="00286DE3" w:rsidRDefault="009F2F8B" w:rsidP="00375C1F">
      <w:pPr>
        <w:spacing w:after="160" w:line="240" w:lineRule="auto"/>
        <w:ind w:left="720" w:hanging="720"/>
        <w:rPr>
          <w:rFonts w:cs="Arial"/>
          <w:bCs/>
          <w:szCs w:val="24"/>
        </w:rPr>
      </w:pPr>
      <w:r>
        <w:rPr>
          <w:rFonts w:cs="Arial"/>
          <w:bCs/>
          <w:szCs w:val="24"/>
        </w:rPr>
        <w:t>11</w:t>
      </w:r>
      <w:r w:rsidR="00286DE3">
        <w:rPr>
          <w:rFonts w:cs="Arial"/>
          <w:bCs/>
          <w:szCs w:val="24"/>
        </w:rPr>
        <w:t xml:space="preserve">.2 </w:t>
      </w:r>
      <w:r w:rsidR="00286DE3">
        <w:rPr>
          <w:rFonts w:cs="Arial"/>
          <w:bCs/>
          <w:szCs w:val="24"/>
        </w:rPr>
        <w:tab/>
      </w:r>
      <w:r w:rsidR="00DF013D" w:rsidRPr="00286DE3">
        <w:rPr>
          <w:rFonts w:cs="Arial"/>
          <w:bCs/>
          <w:i/>
          <w:szCs w:val="24"/>
        </w:rPr>
        <w:t>Head of Wales</w:t>
      </w:r>
      <w:r w:rsidR="00DF013D">
        <w:rPr>
          <w:rFonts w:cs="Arial"/>
          <w:bCs/>
          <w:szCs w:val="24"/>
        </w:rPr>
        <w:t xml:space="preserve"> </w:t>
      </w:r>
      <w:r w:rsidR="00286DE3">
        <w:rPr>
          <w:rFonts w:cs="Arial"/>
          <w:bCs/>
          <w:szCs w:val="24"/>
        </w:rPr>
        <w:t>offered several updates on personnel in the Wales team and asked Committee members for feedback on the Quarterly Impact Report. The Committee confirmed that they are satisfied with the length and level of detail contained within the report.</w:t>
      </w:r>
    </w:p>
    <w:p w14:paraId="605CB1FD" w14:textId="4CB5BA38" w:rsidR="0030103A" w:rsidRDefault="00172780" w:rsidP="00375C1F">
      <w:pPr>
        <w:pStyle w:val="Heading2"/>
      </w:pPr>
      <w:bookmarkStart w:id="25" w:name="_Toc97902467"/>
      <w:r>
        <w:t>1</w:t>
      </w:r>
      <w:r w:rsidR="009F2F8B">
        <w:t>2</w:t>
      </w:r>
      <w:r w:rsidR="0030103A">
        <w:t xml:space="preserve">. Any </w:t>
      </w:r>
      <w:r w:rsidR="00375C1F">
        <w:t>other b</w:t>
      </w:r>
      <w:r w:rsidR="0030103A">
        <w:t>usiness</w:t>
      </w:r>
      <w:bookmarkEnd w:id="25"/>
    </w:p>
    <w:p w14:paraId="5F251A57" w14:textId="59C01657" w:rsidR="0030103A" w:rsidRDefault="009F2F8B" w:rsidP="00375C1F">
      <w:pPr>
        <w:spacing w:after="160" w:line="240" w:lineRule="auto"/>
        <w:rPr>
          <w:rFonts w:cs="Arial"/>
          <w:szCs w:val="24"/>
        </w:rPr>
      </w:pPr>
      <w:r>
        <w:rPr>
          <w:rFonts w:cs="Arial"/>
          <w:szCs w:val="24"/>
        </w:rPr>
        <w:t>12</w:t>
      </w:r>
      <w:r w:rsidR="0030103A">
        <w:rPr>
          <w:rFonts w:cs="Arial"/>
          <w:szCs w:val="24"/>
        </w:rPr>
        <w:t xml:space="preserve">.1 </w:t>
      </w:r>
      <w:r w:rsidR="0030103A">
        <w:rPr>
          <w:rFonts w:cs="Arial"/>
          <w:szCs w:val="24"/>
        </w:rPr>
        <w:tab/>
        <w:t xml:space="preserve">The Interim Chair asked for </w:t>
      </w:r>
      <w:r w:rsidR="00375C1F">
        <w:rPr>
          <w:rFonts w:cs="Arial"/>
          <w:szCs w:val="24"/>
        </w:rPr>
        <w:t>a</w:t>
      </w:r>
      <w:r w:rsidR="0030103A">
        <w:rPr>
          <w:rFonts w:cs="Arial"/>
          <w:szCs w:val="24"/>
        </w:rPr>
        <w:t>ny</w:t>
      </w:r>
      <w:r w:rsidR="00414EFD">
        <w:rPr>
          <w:rFonts w:cs="Arial"/>
          <w:szCs w:val="24"/>
        </w:rPr>
        <w:t xml:space="preserve"> </w:t>
      </w:r>
      <w:r w:rsidR="00375C1F">
        <w:rPr>
          <w:rFonts w:cs="Arial"/>
          <w:szCs w:val="24"/>
        </w:rPr>
        <w:t>o</w:t>
      </w:r>
      <w:r w:rsidR="00414EFD">
        <w:rPr>
          <w:rFonts w:cs="Arial"/>
          <w:szCs w:val="24"/>
        </w:rPr>
        <w:t xml:space="preserve">ther </w:t>
      </w:r>
      <w:r w:rsidR="00375C1F">
        <w:rPr>
          <w:rFonts w:cs="Arial"/>
          <w:szCs w:val="24"/>
        </w:rPr>
        <w:t>bu</w:t>
      </w:r>
      <w:r w:rsidR="00414EFD">
        <w:rPr>
          <w:rFonts w:cs="Arial"/>
          <w:szCs w:val="24"/>
        </w:rPr>
        <w:t xml:space="preserve">siness. None was noted. </w:t>
      </w:r>
    </w:p>
    <w:p w14:paraId="2A5440BC" w14:textId="3257FBBE" w:rsidR="00F30715" w:rsidRDefault="009F2F8B" w:rsidP="00375C1F">
      <w:pPr>
        <w:spacing w:after="160" w:line="240" w:lineRule="auto"/>
        <w:rPr>
          <w:rFonts w:cs="Arial"/>
          <w:szCs w:val="24"/>
        </w:rPr>
      </w:pPr>
      <w:r>
        <w:rPr>
          <w:rFonts w:cs="Arial"/>
          <w:szCs w:val="24"/>
        </w:rPr>
        <w:t>12</w:t>
      </w:r>
      <w:r w:rsidR="0030103A">
        <w:rPr>
          <w:rFonts w:cs="Arial"/>
          <w:szCs w:val="24"/>
        </w:rPr>
        <w:t>.2</w:t>
      </w:r>
      <w:r w:rsidR="0030103A">
        <w:rPr>
          <w:rFonts w:cs="Arial"/>
          <w:szCs w:val="24"/>
        </w:rPr>
        <w:tab/>
        <w:t xml:space="preserve">Members did not wish to escalate any issues to the Board. </w:t>
      </w:r>
    </w:p>
    <w:p w14:paraId="111B13EC" w14:textId="49D2A67D" w:rsidR="00F30715" w:rsidRDefault="009F2F8B" w:rsidP="00375C1F">
      <w:pPr>
        <w:pStyle w:val="Heading2"/>
        <w:rPr>
          <w:rFonts w:cs="Arial"/>
          <w:szCs w:val="24"/>
        </w:rPr>
      </w:pPr>
      <w:bookmarkStart w:id="26" w:name="_Toc97902468"/>
      <w:r>
        <w:lastRenderedPageBreak/>
        <w:t>13</w:t>
      </w:r>
      <w:r w:rsidR="00F30715">
        <w:t>. Close</w:t>
      </w:r>
      <w:bookmarkEnd w:id="26"/>
    </w:p>
    <w:p w14:paraId="522DBEEA" w14:textId="55C33E90" w:rsidR="005F7564" w:rsidRDefault="009F2F8B" w:rsidP="00375C1F">
      <w:pPr>
        <w:spacing w:after="160" w:line="240" w:lineRule="auto"/>
        <w:ind w:left="720" w:hanging="720"/>
        <w:rPr>
          <w:rFonts w:cs="Arial"/>
          <w:szCs w:val="24"/>
        </w:rPr>
      </w:pPr>
      <w:r>
        <w:rPr>
          <w:bCs/>
          <w:szCs w:val="24"/>
        </w:rPr>
        <w:t>13</w:t>
      </w:r>
      <w:r w:rsidR="006A1E7C">
        <w:rPr>
          <w:bCs/>
          <w:szCs w:val="24"/>
        </w:rPr>
        <w:t>.1</w:t>
      </w:r>
      <w:r w:rsidR="0030103A">
        <w:rPr>
          <w:bCs/>
          <w:szCs w:val="24"/>
        </w:rPr>
        <w:t xml:space="preserve"> </w:t>
      </w:r>
      <w:r w:rsidR="0030103A">
        <w:rPr>
          <w:bCs/>
          <w:szCs w:val="24"/>
        </w:rPr>
        <w:tab/>
      </w:r>
      <w:r w:rsidR="0030103A" w:rsidRPr="00A435C7">
        <w:rPr>
          <w:bCs/>
          <w:szCs w:val="24"/>
        </w:rPr>
        <w:t>With no other business being raised, the Interim Chair thanked Committee members and staff for their contributions, and drew the formal meeting to a close.</w:t>
      </w:r>
      <w:r w:rsidR="0030103A">
        <w:rPr>
          <w:bCs/>
          <w:szCs w:val="24"/>
        </w:rPr>
        <w:t xml:space="preserve"> </w:t>
      </w:r>
      <w:r w:rsidR="0030103A" w:rsidRPr="00A435C7">
        <w:rPr>
          <w:bCs/>
          <w:szCs w:val="24"/>
        </w:rPr>
        <w:t xml:space="preserve">The Committee would next meet </w:t>
      </w:r>
      <w:r w:rsidR="0040445E">
        <w:rPr>
          <w:bCs/>
          <w:szCs w:val="24"/>
        </w:rPr>
        <w:t xml:space="preserve">on </w:t>
      </w:r>
      <w:r w:rsidR="00D37AEA">
        <w:rPr>
          <w:bCs/>
          <w:szCs w:val="24"/>
        </w:rPr>
        <w:t>17</w:t>
      </w:r>
      <w:r w:rsidR="00286DE3">
        <w:rPr>
          <w:bCs/>
          <w:szCs w:val="24"/>
        </w:rPr>
        <w:t xml:space="preserve"> March 2022. </w:t>
      </w:r>
      <w:r w:rsidR="0040445E">
        <w:rPr>
          <w:bCs/>
          <w:szCs w:val="24"/>
        </w:rPr>
        <w:t xml:space="preserve"> </w:t>
      </w:r>
    </w:p>
    <w:sectPr w:rsidR="005F7564" w:rsidSect="00FB7D65">
      <w:headerReference w:type="even" r:id="rId8"/>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77EB" w14:textId="77777777" w:rsidR="00DD0A54" w:rsidRDefault="00DD0A54" w:rsidP="005E4512">
      <w:r>
        <w:separator/>
      </w:r>
    </w:p>
    <w:p w14:paraId="7B104071" w14:textId="77777777" w:rsidR="00DD0A54" w:rsidRDefault="00DD0A54"/>
  </w:endnote>
  <w:endnote w:type="continuationSeparator" w:id="0">
    <w:p w14:paraId="46FF5083" w14:textId="77777777" w:rsidR="00DD0A54" w:rsidRDefault="00DD0A54" w:rsidP="005E4512">
      <w:r>
        <w:continuationSeparator/>
      </w:r>
    </w:p>
    <w:p w14:paraId="4BC098B1" w14:textId="77777777" w:rsidR="00DD0A54" w:rsidRDefault="00DD0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4A61" w14:textId="77777777" w:rsidR="007A7D49" w:rsidRDefault="007A7D49">
    <w:pPr>
      <w:pStyle w:val="Footer"/>
    </w:pPr>
  </w:p>
  <w:p w14:paraId="56584800" w14:textId="77777777" w:rsidR="007A7D49" w:rsidRDefault="007A7D49"/>
  <w:p w14:paraId="13CEFCE6" w14:textId="77777777" w:rsidR="007A7D49" w:rsidRDefault="007A7D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6CE6" w14:textId="0C3FF39B" w:rsidR="007A7D49" w:rsidRPr="00FB7D65" w:rsidRDefault="005D3973"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7A7D49" w:rsidRPr="00325310">
          <w:fldChar w:fldCharType="begin"/>
        </w:r>
        <w:r w:rsidR="007A7D49" w:rsidRPr="00325310">
          <w:instrText xml:space="preserve"> PAGE   \* MERGEFORMAT </w:instrText>
        </w:r>
        <w:r w:rsidR="007A7D49" w:rsidRPr="00325310">
          <w:fldChar w:fldCharType="separate"/>
        </w:r>
        <w:r>
          <w:rPr>
            <w:noProof/>
          </w:rPr>
          <w:t>12</w:t>
        </w:r>
        <w:r w:rsidR="007A7D49"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5C0C" w14:textId="77777777" w:rsidR="007A7D49" w:rsidRPr="00CF43D8" w:rsidRDefault="005D3973" w:rsidP="00A329F4">
    <w:pPr>
      <w:pStyle w:val="Footer"/>
      <w:ind w:right="-880"/>
      <w:jc w:val="right"/>
      <w:rPr>
        <w:b/>
        <w:color w:val="009C98" w:themeColor="accent1"/>
      </w:rPr>
    </w:pPr>
    <w:hyperlink r:id="rId1" w:history="1">
      <w:r w:rsidR="007A7D49" w:rsidRPr="00CF43D8">
        <w:rPr>
          <w:rStyle w:val="Hyperlink"/>
          <w:b/>
          <w:color w:val="009C98" w:themeColor="accent1"/>
          <w:u w:val="none"/>
        </w:rPr>
        <w:t>equalityhumanrights.com</w:t>
      </w:r>
    </w:hyperlink>
  </w:p>
  <w:p w14:paraId="5BF2181E" w14:textId="77777777" w:rsidR="007A7D49" w:rsidRDefault="007A7D49"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2D22" w14:textId="77777777" w:rsidR="00DD0A54" w:rsidRPr="00A91B02" w:rsidRDefault="00DD0A54" w:rsidP="00A91B02">
      <w:pPr>
        <w:pStyle w:val="Footer"/>
        <w:pBdr>
          <w:between w:val="single" w:sz="18" w:space="1" w:color="009C98" w:themeColor="accent1"/>
        </w:pBdr>
      </w:pPr>
      <w:r>
        <w:separator/>
      </w:r>
    </w:p>
    <w:p w14:paraId="31266F62" w14:textId="77777777" w:rsidR="00DD0A54" w:rsidRDefault="00DD0A54"/>
  </w:footnote>
  <w:footnote w:type="continuationSeparator" w:id="0">
    <w:p w14:paraId="4FD74C47" w14:textId="77777777" w:rsidR="00DD0A54" w:rsidRDefault="00DD0A54" w:rsidP="005E4512">
      <w:r>
        <w:continuationSeparator/>
      </w:r>
    </w:p>
    <w:p w14:paraId="11962147" w14:textId="77777777" w:rsidR="00DD0A54" w:rsidRDefault="00DD0A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8568" w14:textId="77777777" w:rsidR="0035637C" w:rsidRDefault="00356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C2FC" w14:textId="583185F9" w:rsidR="007A7D49" w:rsidRDefault="007A7D49" w:rsidP="00605567">
    <w:pPr>
      <w:pStyle w:val="Header"/>
      <w:pBdr>
        <w:top w:val="single" w:sz="36" w:space="5" w:color="009C98" w:themeColor="accent1"/>
      </w:pBdr>
      <w:ind w:left="-851" w:right="-738"/>
      <w:jc w:val="center"/>
    </w:pPr>
    <w:r>
      <w:t>Minutes of the Sixtieth Meeting of the Wales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9DF" w14:textId="77777777" w:rsidR="007A7D49" w:rsidRDefault="007A7D49" w:rsidP="000E6F22">
    <w:pPr>
      <w:pStyle w:val="Header"/>
      <w:spacing w:before="640" w:after="2000"/>
      <w:ind w:right="-1021"/>
      <w:jc w:val="right"/>
    </w:pPr>
    <w:r>
      <w:rPr>
        <w:noProof/>
        <w:lang w:eastAsia="en-GB"/>
      </w:rPr>
      <w:drawing>
        <wp:inline distT="0" distB="0" distL="0" distR="0" wp14:anchorId="28B52E9E" wp14:editId="49CA257C">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B344CEB"/>
    <w:multiLevelType w:val="hybridMultilevel"/>
    <w:tmpl w:val="11A8B9AC"/>
    <w:lvl w:ilvl="0" w:tplc="9D3A4C2C">
      <w:start w:val="1"/>
      <w:numFmt w:val="lowerLetter"/>
      <w:lvlText w:val="%1)"/>
      <w:lvlJc w:val="left"/>
      <w:pPr>
        <w:ind w:left="1081" w:hanging="360"/>
      </w:pPr>
      <w:rPr>
        <w:rFonts w:hint="default"/>
        <w:sz w:val="24"/>
        <w:szCs w:val="24"/>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1"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6"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5"/>
  </w:num>
  <w:num w:numId="5">
    <w:abstractNumId w:val="3"/>
  </w:num>
  <w:num w:numId="6">
    <w:abstractNumId w:val="14"/>
  </w:num>
  <w:num w:numId="7">
    <w:abstractNumId w:val="10"/>
  </w:num>
  <w:num w:numId="8">
    <w:abstractNumId w:val="18"/>
  </w:num>
  <w:num w:numId="9">
    <w:abstractNumId w:val="17"/>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4"/>
  </w:num>
  <w:num w:numId="17">
    <w:abstractNumId w:val="9"/>
  </w:num>
  <w:num w:numId="18">
    <w:abstractNumId w:val="1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03C3F"/>
    <w:rsid w:val="000129C4"/>
    <w:rsid w:val="00014FC3"/>
    <w:rsid w:val="00015484"/>
    <w:rsid w:val="00022B38"/>
    <w:rsid w:val="0002676F"/>
    <w:rsid w:val="00030E24"/>
    <w:rsid w:val="000310D5"/>
    <w:rsid w:val="00040ED1"/>
    <w:rsid w:val="00041F60"/>
    <w:rsid w:val="00042CE1"/>
    <w:rsid w:val="00044531"/>
    <w:rsid w:val="000449C8"/>
    <w:rsid w:val="000530C5"/>
    <w:rsid w:val="00055DA1"/>
    <w:rsid w:val="00057FC5"/>
    <w:rsid w:val="00063824"/>
    <w:rsid w:val="000653E0"/>
    <w:rsid w:val="00072BE4"/>
    <w:rsid w:val="00075ABB"/>
    <w:rsid w:val="00075CB3"/>
    <w:rsid w:val="00080AFB"/>
    <w:rsid w:val="00080BA6"/>
    <w:rsid w:val="00082078"/>
    <w:rsid w:val="00083530"/>
    <w:rsid w:val="00086816"/>
    <w:rsid w:val="00095255"/>
    <w:rsid w:val="00097C17"/>
    <w:rsid w:val="00097E41"/>
    <w:rsid w:val="000A4006"/>
    <w:rsid w:val="000A4034"/>
    <w:rsid w:val="000A4201"/>
    <w:rsid w:val="000A4CC3"/>
    <w:rsid w:val="000A58DB"/>
    <w:rsid w:val="000A5D1E"/>
    <w:rsid w:val="000B1802"/>
    <w:rsid w:val="000B272D"/>
    <w:rsid w:val="000B3110"/>
    <w:rsid w:val="000B3C3D"/>
    <w:rsid w:val="000B3C6C"/>
    <w:rsid w:val="000B4D99"/>
    <w:rsid w:val="000C0566"/>
    <w:rsid w:val="000C0878"/>
    <w:rsid w:val="000C3D42"/>
    <w:rsid w:val="000C5FA8"/>
    <w:rsid w:val="000D1B8F"/>
    <w:rsid w:val="000D23CB"/>
    <w:rsid w:val="000D320A"/>
    <w:rsid w:val="000D32CF"/>
    <w:rsid w:val="000D32FB"/>
    <w:rsid w:val="000D5C92"/>
    <w:rsid w:val="000E1698"/>
    <w:rsid w:val="000E6F22"/>
    <w:rsid w:val="000E7497"/>
    <w:rsid w:val="000F1158"/>
    <w:rsid w:val="000F4FBA"/>
    <w:rsid w:val="00104AFB"/>
    <w:rsid w:val="00115000"/>
    <w:rsid w:val="0011620B"/>
    <w:rsid w:val="00117C4B"/>
    <w:rsid w:val="00123A50"/>
    <w:rsid w:val="001253D3"/>
    <w:rsid w:val="001259F9"/>
    <w:rsid w:val="0012743B"/>
    <w:rsid w:val="0013125D"/>
    <w:rsid w:val="001316EA"/>
    <w:rsid w:val="00131D8E"/>
    <w:rsid w:val="0013283A"/>
    <w:rsid w:val="001338BD"/>
    <w:rsid w:val="00140296"/>
    <w:rsid w:val="001411A7"/>
    <w:rsid w:val="00141E63"/>
    <w:rsid w:val="00145B30"/>
    <w:rsid w:val="001505F0"/>
    <w:rsid w:val="00151EE8"/>
    <w:rsid w:val="00151F75"/>
    <w:rsid w:val="001530E7"/>
    <w:rsid w:val="001555CA"/>
    <w:rsid w:val="00155E46"/>
    <w:rsid w:val="00165E89"/>
    <w:rsid w:val="00171D34"/>
    <w:rsid w:val="00172780"/>
    <w:rsid w:val="00173F52"/>
    <w:rsid w:val="001746B7"/>
    <w:rsid w:val="001834AB"/>
    <w:rsid w:val="001840C0"/>
    <w:rsid w:val="00191BBE"/>
    <w:rsid w:val="001926A6"/>
    <w:rsid w:val="00194A63"/>
    <w:rsid w:val="001A16A1"/>
    <w:rsid w:val="001A6D78"/>
    <w:rsid w:val="001B4690"/>
    <w:rsid w:val="001C0254"/>
    <w:rsid w:val="001C2F6C"/>
    <w:rsid w:val="001C7725"/>
    <w:rsid w:val="001D7E42"/>
    <w:rsid w:val="001E017A"/>
    <w:rsid w:val="001E6028"/>
    <w:rsid w:val="001E66C7"/>
    <w:rsid w:val="001E7C3D"/>
    <w:rsid w:val="001F25E8"/>
    <w:rsid w:val="001F688B"/>
    <w:rsid w:val="001F71B8"/>
    <w:rsid w:val="00201E04"/>
    <w:rsid w:val="00202214"/>
    <w:rsid w:val="00205392"/>
    <w:rsid w:val="00205A4B"/>
    <w:rsid w:val="00213015"/>
    <w:rsid w:val="00217C70"/>
    <w:rsid w:val="00220984"/>
    <w:rsid w:val="00222098"/>
    <w:rsid w:val="00223CA6"/>
    <w:rsid w:val="00225CF8"/>
    <w:rsid w:val="00226727"/>
    <w:rsid w:val="00226783"/>
    <w:rsid w:val="00230678"/>
    <w:rsid w:val="00230F01"/>
    <w:rsid w:val="0023760C"/>
    <w:rsid w:val="00237647"/>
    <w:rsid w:val="00237DAC"/>
    <w:rsid w:val="00240672"/>
    <w:rsid w:val="002429CB"/>
    <w:rsid w:val="00243D09"/>
    <w:rsid w:val="0024504E"/>
    <w:rsid w:val="002450C3"/>
    <w:rsid w:val="00245360"/>
    <w:rsid w:val="00245A71"/>
    <w:rsid w:val="002475B9"/>
    <w:rsid w:val="00254309"/>
    <w:rsid w:val="002552F9"/>
    <w:rsid w:val="00270B19"/>
    <w:rsid w:val="002714EC"/>
    <w:rsid w:val="00276C39"/>
    <w:rsid w:val="00276C41"/>
    <w:rsid w:val="0027728B"/>
    <w:rsid w:val="00277333"/>
    <w:rsid w:val="00277B11"/>
    <w:rsid w:val="00283666"/>
    <w:rsid w:val="00286DE3"/>
    <w:rsid w:val="002877E2"/>
    <w:rsid w:val="002909EE"/>
    <w:rsid w:val="00297813"/>
    <w:rsid w:val="002A041D"/>
    <w:rsid w:val="002A1AC0"/>
    <w:rsid w:val="002A589D"/>
    <w:rsid w:val="002A65B9"/>
    <w:rsid w:val="002A7B89"/>
    <w:rsid w:val="002B3BA2"/>
    <w:rsid w:val="002B568E"/>
    <w:rsid w:val="002C0A2F"/>
    <w:rsid w:val="002C11E4"/>
    <w:rsid w:val="002C271E"/>
    <w:rsid w:val="002C5D5F"/>
    <w:rsid w:val="002C6446"/>
    <w:rsid w:val="002D138D"/>
    <w:rsid w:val="002D221B"/>
    <w:rsid w:val="002D3C00"/>
    <w:rsid w:val="002D62F9"/>
    <w:rsid w:val="002D77B1"/>
    <w:rsid w:val="002D7B90"/>
    <w:rsid w:val="002E08E4"/>
    <w:rsid w:val="002E47C0"/>
    <w:rsid w:val="002E6A45"/>
    <w:rsid w:val="002F4282"/>
    <w:rsid w:val="002F71B2"/>
    <w:rsid w:val="0030103A"/>
    <w:rsid w:val="00303660"/>
    <w:rsid w:val="00312C12"/>
    <w:rsid w:val="00315E91"/>
    <w:rsid w:val="003174FA"/>
    <w:rsid w:val="0032120D"/>
    <w:rsid w:val="0032320B"/>
    <w:rsid w:val="003252B8"/>
    <w:rsid w:val="00325310"/>
    <w:rsid w:val="00330757"/>
    <w:rsid w:val="003338E8"/>
    <w:rsid w:val="00341836"/>
    <w:rsid w:val="00341DD6"/>
    <w:rsid w:val="00347E8A"/>
    <w:rsid w:val="003535A7"/>
    <w:rsid w:val="0035637C"/>
    <w:rsid w:val="00356C5E"/>
    <w:rsid w:val="00360FA4"/>
    <w:rsid w:val="003616C5"/>
    <w:rsid w:val="00363E3F"/>
    <w:rsid w:val="00365586"/>
    <w:rsid w:val="00365E5D"/>
    <w:rsid w:val="00375C1F"/>
    <w:rsid w:val="0038266E"/>
    <w:rsid w:val="0038313A"/>
    <w:rsid w:val="0038429C"/>
    <w:rsid w:val="00384E88"/>
    <w:rsid w:val="00384EFE"/>
    <w:rsid w:val="00386AF5"/>
    <w:rsid w:val="00390682"/>
    <w:rsid w:val="003911FE"/>
    <w:rsid w:val="00392943"/>
    <w:rsid w:val="00394472"/>
    <w:rsid w:val="00396E00"/>
    <w:rsid w:val="003A7D00"/>
    <w:rsid w:val="003B0720"/>
    <w:rsid w:val="003B528A"/>
    <w:rsid w:val="003B5712"/>
    <w:rsid w:val="003B6B4E"/>
    <w:rsid w:val="003B7D03"/>
    <w:rsid w:val="003C04A3"/>
    <w:rsid w:val="003C7799"/>
    <w:rsid w:val="003D31D3"/>
    <w:rsid w:val="003D5EC0"/>
    <w:rsid w:val="003E0710"/>
    <w:rsid w:val="003E2F4C"/>
    <w:rsid w:val="003E3346"/>
    <w:rsid w:val="003E486C"/>
    <w:rsid w:val="003F069F"/>
    <w:rsid w:val="003F1F7E"/>
    <w:rsid w:val="003F2007"/>
    <w:rsid w:val="003F7BE7"/>
    <w:rsid w:val="00401D2A"/>
    <w:rsid w:val="0040445E"/>
    <w:rsid w:val="00406450"/>
    <w:rsid w:val="00406663"/>
    <w:rsid w:val="00407C5D"/>
    <w:rsid w:val="004100EA"/>
    <w:rsid w:val="0041136B"/>
    <w:rsid w:val="004149B7"/>
    <w:rsid w:val="00414EFD"/>
    <w:rsid w:val="00415FB7"/>
    <w:rsid w:val="00420834"/>
    <w:rsid w:val="00420E5D"/>
    <w:rsid w:val="004213E4"/>
    <w:rsid w:val="0042713F"/>
    <w:rsid w:val="004276D5"/>
    <w:rsid w:val="004303BC"/>
    <w:rsid w:val="00430A98"/>
    <w:rsid w:val="004326EA"/>
    <w:rsid w:val="00432E5C"/>
    <w:rsid w:val="00433B81"/>
    <w:rsid w:val="00435F09"/>
    <w:rsid w:val="00440CC6"/>
    <w:rsid w:val="00444CDB"/>
    <w:rsid w:val="00452FCD"/>
    <w:rsid w:val="00457EE1"/>
    <w:rsid w:val="00461040"/>
    <w:rsid w:val="00465B9E"/>
    <w:rsid w:val="00465E0B"/>
    <w:rsid w:val="004704A3"/>
    <w:rsid w:val="00470881"/>
    <w:rsid w:val="00472DFA"/>
    <w:rsid w:val="0047425A"/>
    <w:rsid w:val="00474664"/>
    <w:rsid w:val="00477539"/>
    <w:rsid w:val="00490C66"/>
    <w:rsid w:val="00495ACB"/>
    <w:rsid w:val="004A0C14"/>
    <w:rsid w:val="004A0EA0"/>
    <w:rsid w:val="004A13F3"/>
    <w:rsid w:val="004A47A5"/>
    <w:rsid w:val="004A5BF6"/>
    <w:rsid w:val="004A6194"/>
    <w:rsid w:val="004A7094"/>
    <w:rsid w:val="004A7997"/>
    <w:rsid w:val="004B065A"/>
    <w:rsid w:val="004B1B84"/>
    <w:rsid w:val="004B2EBE"/>
    <w:rsid w:val="004B5F48"/>
    <w:rsid w:val="004C2926"/>
    <w:rsid w:val="004C3A50"/>
    <w:rsid w:val="004C48A1"/>
    <w:rsid w:val="004C4AB1"/>
    <w:rsid w:val="004C5C6A"/>
    <w:rsid w:val="004C640F"/>
    <w:rsid w:val="004C7DC6"/>
    <w:rsid w:val="004D3925"/>
    <w:rsid w:val="004D3FC1"/>
    <w:rsid w:val="004E026D"/>
    <w:rsid w:val="004E2C9C"/>
    <w:rsid w:val="004F0D64"/>
    <w:rsid w:val="004F2B23"/>
    <w:rsid w:val="004F5097"/>
    <w:rsid w:val="004F5444"/>
    <w:rsid w:val="00501AA3"/>
    <w:rsid w:val="00505057"/>
    <w:rsid w:val="00505265"/>
    <w:rsid w:val="00514A49"/>
    <w:rsid w:val="005204F5"/>
    <w:rsid w:val="00520A68"/>
    <w:rsid w:val="00521D9F"/>
    <w:rsid w:val="00525E6A"/>
    <w:rsid w:val="00526047"/>
    <w:rsid w:val="00527586"/>
    <w:rsid w:val="00527E5C"/>
    <w:rsid w:val="00532C97"/>
    <w:rsid w:val="00533F29"/>
    <w:rsid w:val="00534454"/>
    <w:rsid w:val="00534932"/>
    <w:rsid w:val="005377AE"/>
    <w:rsid w:val="005379E2"/>
    <w:rsid w:val="00540640"/>
    <w:rsid w:val="00546103"/>
    <w:rsid w:val="00550BD7"/>
    <w:rsid w:val="00555D2F"/>
    <w:rsid w:val="005602FB"/>
    <w:rsid w:val="005653CB"/>
    <w:rsid w:val="0056798D"/>
    <w:rsid w:val="00574654"/>
    <w:rsid w:val="00574F11"/>
    <w:rsid w:val="005779B4"/>
    <w:rsid w:val="0058159A"/>
    <w:rsid w:val="00587947"/>
    <w:rsid w:val="00590CCC"/>
    <w:rsid w:val="0059411C"/>
    <w:rsid w:val="005A3763"/>
    <w:rsid w:val="005A4164"/>
    <w:rsid w:val="005A49CF"/>
    <w:rsid w:val="005B2250"/>
    <w:rsid w:val="005B2379"/>
    <w:rsid w:val="005B3375"/>
    <w:rsid w:val="005B53B8"/>
    <w:rsid w:val="005B5C1E"/>
    <w:rsid w:val="005C12BF"/>
    <w:rsid w:val="005C1E68"/>
    <w:rsid w:val="005C7DB6"/>
    <w:rsid w:val="005D039A"/>
    <w:rsid w:val="005D062C"/>
    <w:rsid w:val="005D3973"/>
    <w:rsid w:val="005E4512"/>
    <w:rsid w:val="005F1448"/>
    <w:rsid w:val="005F2E97"/>
    <w:rsid w:val="005F32A7"/>
    <w:rsid w:val="005F43EC"/>
    <w:rsid w:val="005F5F0B"/>
    <w:rsid w:val="005F7564"/>
    <w:rsid w:val="00601F26"/>
    <w:rsid w:val="00603C53"/>
    <w:rsid w:val="00604631"/>
    <w:rsid w:val="006051F6"/>
    <w:rsid w:val="00605567"/>
    <w:rsid w:val="00611FD8"/>
    <w:rsid w:val="00612EDB"/>
    <w:rsid w:val="00622D39"/>
    <w:rsid w:val="00622F31"/>
    <w:rsid w:val="006233A3"/>
    <w:rsid w:val="00624702"/>
    <w:rsid w:val="00624B7B"/>
    <w:rsid w:val="006316D9"/>
    <w:rsid w:val="00633844"/>
    <w:rsid w:val="0063487C"/>
    <w:rsid w:val="0063540E"/>
    <w:rsid w:val="00635940"/>
    <w:rsid w:val="006414DD"/>
    <w:rsid w:val="00641C52"/>
    <w:rsid w:val="006430F1"/>
    <w:rsid w:val="006442E7"/>
    <w:rsid w:val="006451FF"/>
    <w:rsid w:val="0065079D"/>
    <w:rsid w:val="00653530"/>
    <w:rsid w:val="006577DB"/>
    <w:rsid w:val="00660E9E"/>
    <w:rsid w:val="00664181"/>
    <w:rsid w:val="00664922"/>
    <w:rsid w:val="006772EA"/>
    <w:rsid w:val="00685B8F"/>
    <w:rsid w:val="00685F5D"/>
    <w:rsid w:val="0069230C"/>
    <w:rsid w:val="006978A0"/>
    <w:rsid w:val="006A1408"/>
    <w:rsid w:val="006A1E7C"/>
    <w:rsid w:val="006B0550"/>
    <w:rsid w:val="006B5664"/>
    <w:rsid w:val="006B7D0A"/>
    <w:rsid w:val="006C33F0"/>
    <w:rsid w:val="006C3EDA"/>
    <w:rsid w:val="006C5A43"/>
    <w:rsid w:val="006C6E97"/>
    <w:rsid w:val="006D0044"/>
    <w:rsid w:val="006D0F2E"/>
    <w:rsid w:val="006D2B04"/>
    <w:rsid w:val="006D54FF"/>
    <w:rsid w:val="006D611F"/>
    <w:rsid w:val="006E09F9"/>
    <w:rsid w:val="006E163D"/>
    <w:rsid w:val="006E41F3"/>
    <w:rsid w:val="006E55C4"/>
    <w:rsid w:val="006E7187"/>
    <w:rsid w:val="006F04B3"/>
    <w:rsid w:val="00700073"/>
    <w:rsid w:val="00700761"/>
    <w:rsid w:val="00702328"/>
    <w:rsid w:val="00705AC7"/>
    <w:rsid w:val="00711475"/>
    <w:rsid w:val="0071584B"/>
    <w:rsid w:val="00715F70"/>
    <w:rsid w:val="00724958"/>
    <w:rsid w:val="007256FA"/>
    <w:rsid w:val="007303E0"/>
    <w:rsid w:val="00734196"/>
    <w:rsid w:val="00740B09"/>
    <w:rsid w:val="00741B1E"/>
    <w:rsid w:val="00742F24"/>
    <w:rsid w:val="007444B2"/>
    <w:rsid w:val="00747D9F"/>
    <w:rsid w:val="00760132"/>
    <w:rsid w:val="007633DF"/>
    <w:rsid w:val="00766CD1"/>
    <w:rsid w:val="007729ED"/>
    <w:rsid w:val="00772C5D"/>
    <w:rsid w:val="00774955"/>
    <w:rsid w:val="00776236"/>
    <w:rsid w:val="007822D0"/>
    <w:rsid w:val="00783C93"/>
    <w:rsid w:val="0078472F"/>
    <w:rsid w:val="007904A9"/>
    <w:rsid w:val="007940E8"/>
    <w:rsid w:val="00795B43"/>
    <w:rsid w:val="00796E52"/>
    <w:rsid w:val="007A00B2"/>
    <w:rsid w:val="007A0465"/>
    <w:rsid w:val="007A303A"/>
    <w:rsid w:val="007A3B56"/>
    <w:rsid w:val="007A5B63"/>
    <w:rsid w:val="007A6F1A"/>
    <w:rsid w:val="007A7D49"/>
    <w:rsid w:val="007B0F5B"/>
    <w:rsid w:val="007B22F7"/>
    <w:rsid w:val="007B3195"/>
    <w:rsid w:val="007B33CC"/>
    <w:rsid w:val="007B485A"/>
    <w:rsid w:val="007B7561"/>
    <w:rsid w:val="007C1DEA"/>
    <w:rsid w:val="007C2194"/>
    <w:rsid w:val="007C4866"/>
    <w:rsid w:val="007C6C76"/>
    <w:rsid w:val="007D3FB1"/>
    <w:rsid w:val="007D50DD"/>
    <w:rsid w:val="007E120D"/>
    <w:rsid w:val="007E44E5"/>
    <w:rsid w:val="007E44E8"/>
    <w:rsid w:val="007F2868"/>
    <w:rsid w:val="007F3FB1"/>
    <w:rsid w:val="0080220D"/>
    <w:rsid w:val="0080585F"/>
    <w:rsid w:val="00805971"/>
    <w:rsid w:val="008061E5"/>
    <w:rsid w:val="00812FD3"/>
    <w:rsid w:val="008139C1"/>
    <w:rsid w:val="00814D02"/>
    <w:rsid w:val="0081569A"/>
    <w:rsid w:val="00815BDB"/>
    <w:rsid w:val="00826DCF"/>
    <w:rsid w:val="00827957"/>
    <w:rsid w:val="00831202"/>
    <w:rsid w:val="008317E5"/>
    <w:rsid w:val="00831809"/>
    <w:rsid w:val="0083182E"/>
    <w:rsid w:val="00831EF0"/>
    <w:rsid w:val="0083473E"/>
    <w:rsid w:val="0083574A"/>
    <w:rsid w:val="00841C02"/>
    <w:rsid w:val="008431C5"/>
    <w:rsid w:val="0084482A"/>
    <w:rsid w:val="008449CD"/>
    <w:rsid w:val="008462DE"/>
    <w:rsid w:val="00847BEE"/>
    <w:rsid w:val="0085168A"/>
    <w:rsid w:val="0086276D"/>
    <w:rsid w:val="00863D5E"/>
    <w:rsid w:val="008677AF"/>
    <w:rsid w:val="00870E83"/>
    <w:rsid w:val="00873768"/>
    <w:rsid w:val="00877DA5"/>
    <w:rsid w:val="0088092E"/>
    <w:rsid w:val="00880F69"/>
    <w:rsid w:val="008820F6"/>
    <w:rsid w:val="008826E6"/>
    <w:rsid w:val="008842C1"/>
    <w:rsid w:val="00892471"/>
    <w:rsid w:val="00893E84"/>
    <w:rsid w:val="00894B5D"/>
    <w:rsid w:val="008966A1"/>
    <w:rsid w:val="008A08BC"/>
    <w:rsid w:val="008A2DFE"/>
    <w:rsid w:val="008A4181"/>
    <w:rsid w:val="008A7E45"/>
    <w:rsid w:val="008B1A83"/>
    <w:rsid w:val="008C5DF1"/>
    <w:rsid w:val="008C615C"/>
    <w:rsid w:val="008C6C2D"/>
    <w:rsid w:val="008D03BA"/>
    <w:rsid w:val="008D1E46"/>
    <w:rsid w:val="008D29F8"/>
    <w:rsid w:val="008D33EF"/>
    <w:rsid w:val="008D4A5F"/>
    <w:rsid w:val="008D6DB1"/>
    <w:rsid w:val="008E0A02"/>
    <w:rsid w:val="008E6A27"/>
    <w:rsid w:val="008E7DC4"/>
    <w:rsid w:val="008F0D7B"/>
    <w:rsid w:val="008F2CD9"/>
    <w:rsid w:val="00905F7A"/>
    <w:rsid w:val="00906752"/>
    <w:rsid w:val="009105E0"/>
    <w:rsid w:val="009127A7"/>
    <w:rsid w:val="00912934"/>
    <w:rsid w:val="00915C63"/>
    <w:rsid w:val="00917D9B"/>
    <w:rsid w:val="00921CB3"/>
    <w:rsid w:val="00922BB0"/>
    <w:rsid w:val="0092660D"/>
    <w:rsid w:val="00926CB1"/>
    <w:rsid w:val="009311E4"/>
    <w:rsid w:val="00933D18"/>
    <w:rsid w:val="00937239"/>
    <w:rsid w:val="0094461E"/>
    <w:rsid w:val="00950BE2"/>
    <w:rsid w:val="009575FF"/>
    <w:rsid w:val="00960F67"/>
    <w:rsid w:val="00961657"/>
    <w:rsid w:val="0096568E"/>
    <w:rsid w:val="00972D5B"/>
    <w:rsid w:val="009815AA"/>
    <w:rsid w:val="00985A4E"/>
    <w:rsid w:val="00995C2B"/>
    <w:rsid w:val="009A1AC8"/>
    <w:rsid w:val="009A203F"/>
    <w:rsid w:val="009A3F81"/>
    <w:rsid w:val="009A6B47"/>
    <w:rsid w:val="009A6D4F"/>
    <w:rsid w:val="009A7840"/>
    <w:rsid w:val="009B02D1"/>
    <w:rsid w:val="009B1AA5"/>
    <w:rsid w:val="009B1D43"/>
    <w:rsid w:val="009C1718"/>
    <w:rsid w:val="009C2218"/>
    <w:rsid w:val="009C37B9"/>
    <w:rsid w:val="009C71D5"/>
    <w:rsid w:val="009D0D69"/>
    <w:rsid w:val="009D646A"/>
    <w:rsid w:val="009D6553"/>
    <w:rsid w:val="009D7F58"/>
    <w:rsid w:val="009E0C25"/>
    <w:rsid w:val="009E1A6C"/>
    <w:rsid w:val="009E1CA2"/>
    <w:rsid w:val="009E5527"/>
    <w:rsid w:val="009F2F8B"/>
    <w:rsid w:val="009F3D45"/>
    <w:rsid w:val="009F628F"/>
    <w:rsid w:val="009F652C"/>
    <w:rsid w:val="009F68AD"/>
    <w:rsid w:val="00A02EA3"/>
    <w:rsid w:val="00A03D5D"/>
    <w:rsid w:val="00A03FA7"/>
    <w:rsid w:val="00A05A2D"/>
    <w:rsid w:val="00A1016E"/>
    <w:rsid w:val="00A102F4"/>
    <w:rsid w:val="00A17DB7"/>
    <w:rsid w:val="00A23764"/>
    <w:rsid w:val="00A259F5"/>
    <w:rsid w:val="00A26367"/>
    <w:rsid w:val="00A26DF5"/>
    <w:rsid w:val="00A27840"/>
    <w:rsid w:val="00A329F4"/>
    <w:rsid w:val="00A37906"/>
    <w:rsid w:val="00A444F9"/>
    <w:rsid w:val="00A457FE"/>
    <w:rsid w:val="00A50EA1"/>
    <w:rsid w:val="00A5273A"/>
    <w:rsid w:val="00A55000"/>
    <w:rsid w:val="00A62923"/>
    <w:rsid w:val="00A6390B"/>
    <w:rsid w:val="00A67428"/>
    <w:rsid w:val="00A67B13"/>
    <w:rsid w:val="00A725C4"/>
    <w:rsid w:val="00A73E9F"/>
    <w:rsid w:val="00A75BF7"/>
    <w:rsid w:val="00A77DEE"/>
    <w:rsid w:val="00A82FF5"/>
    <w:rsid w:val="00A83D65"/>
    <w:rsid w:val="00A91B02"/>
    <w:rsid w:val="00A93370"/>
    <w:rsid w:val="00A941DD"/>
    <w:rsid w:val="00A96BBA"/>
    <w:rsid w:val="00AA016D"/>
    <w:rsid w:val="00AA394F"/>
    <w:rsid w:val="00AA4AC6"/>
    <w:rsid w:val="00AB488C"/>
    <w:rsid w:val="00AB647F"/>
    <w:rsid w:val="00AB7CD8"/>
    <w:rsid w:val="00AC06EE"/>
    <w:rsid w:val="00AC3A2F"/>
    <w:rsid w:val="00AC4A1D"/>
    <w:rsid w:val="00AD0977"/>
    <w:rsid w:val="00AD1533"/>
    <w:rsid w:val="00AD1E62"/>
    <w:rsid w:val="00AD3D66"/>
    <w:rsid w:val="00AD60EE"/>
    <w:rsid w:val="00AE60BC"/>
    <w:rsid w:val="00AE6350"/>
    <w:rsid w:val="00AE7D1B"/>
    <w:rsid w:val="00AF4321"/>
    <w:rsid w:val="00B02B52"/>
    <w:rsid w:val="00B03B19"/>
    <w:rsid w:val="00B14602"/>
    <w:rsid w:val="00B14A1F"/>
    <w:rsid w:val="00B15AE8"/>
    <w:rsid w:val="00B16A70"/>
    <w:rsid w:val="00B16F8A"/>
    <w:rsid w:val="00B25013"/>
    <w:rsid w:val="00B2551E"/>
    <w:rsid w:val="00B26124"/>
    <w:rsid w:val="00B275C8"/>
    <w:rsid w:val="00B277C1"/>
    <w:rsid w:val="00B27819"/>
    <w:rsid w:val="00B31551"/>
    <w:rsid w:val="00B315C8"/>
    <w:rsid w:val="00B315CD"/>
    <w:rsid w:val="00B34191"/>
    <w:rsid w:val="00B345B8"/>
    <w:rsid w:val="00B36488"/>
    <w:rsid w:val="00B41F5A"/>
    <w:rsid w:val="00B42921"/>
    <w:rsid w:val="00B437EB"/>
    <w:rsid w:val="00B46B77"/>
    <w:rsid w:val="00B47EC7"/>
    <w:rsid w:val="00B54905"/>
    <w:rsid w:val="00B54ABC"/>
    <w:rsid w:val="00B55717"/>
    <w:rsid w:val="00B62AD8"/>
    <w:rsid w:val="00B6428F"/>
    <w:rsid w:val="00B71312"/>
    <w:rsid w:val="00B740F1"/>
    <w:rsid w:val="00B751E2"/>
    <w:rsid w:val="00B77265"/>
    <w:rsid w:val="00B84D3D"/>
    <w:rsid w:val="00B902FC"/>
    <w:rsid w:val="00B907F4"/>
    <w:rsid w:val="00B91A3D"/>
    <w:rsid w:val="00B92E90"/>
    <w:rsid w:val="00B974E8"/>
    <w:rsid w:val="00BA14D7"/>
    <w:rsid w:val="00BA4B02"/>
    <w:rsid w:val="00BA557F"/>
    <w:rsid w:val="00BB0CA3"/>
    <w:rsid w:val="00BB13B6"/>
    <w:rsid w:val="00BC24C0"/>
    <w:rsid w:val="00BC7BCF"/>
    <w:rsid w:val="00BD3D0C"/>
    <w:rsid w:val="00BD5C30"/>
    <w:rsid w:val="00BD69C0"/>
    <w:rsid w:val="00BD779F"/>
    <w:rsid w:val="00BE1E67"/>
    <w:rsid w:val="00BE3235"/>
    <w:rsid w:val="00BE6A2C"/>
    <w:rsid w:val="00BF02FD"/>
    <w:rsid w:val="00BF74C5"/>
    <w:rsid w:val="00BF7F6C"/>
    <w:rsid w:val="00C01F14"/>
    <w:rsid w:val="00C04155"/>
    <w:rsid w:val="00C06697"/>
    <w:rsid w:val="00C105E4"/>
    <w:rsid w:val="00C10DBD"/>
    <w:rsid w:val="00C158F7"/>
    <w:rsid w:val="00C2460D"/>
    <w:rsid w:val="00C25EF5"/>
    <w:rsid w:val="00C310E8"/>
    <w:rsid w:val="00C319B6"/>
    <w:rsid w:val="00C31AF2"/>
    <w:rsid w:val="00C3520D"/>
    <w:rsid w:val="00C405CB"/>
    <w:rsid w:val="00C42854"/>
    <w:rsid w:val="00C4621C"/>
    <w:rsid w:val="00C50BF9"/>
    <w:rsid w:val="00C51831"/>
    <w:rsid w:val="00C51F4D"/>
    <w:rsid w:val="00C52F04"/>
    <w:rsid w:val="00C57A76"/>
    <w:rsid w:val="00C60547"/>
    <w:rsid w:val="00C608EC"/>
    <w:rsid w:val="00C66D45"/>
    <w:rsid w:val="00C72116"/>
    <w:rsid w:val="00C7223D"/>
    <w:rsid w:val="00C72AD9"/>
    <w:rsid w:val="00C74255"/>
    <w:rsid w:val="00C744BD"/>
    <w:rsid w:val="00C75DF1"/>
    <w:rsid w:val="00C76302"/>
    <w:rsid w:val="00C76471"/>
    <w:rsid w:val="00C76AA3"/>
    <w:rsid w:val="00C76EBA"/>
    <w:rsid w:val="00C77B5D"/>
    <w:rsid w:val="00C9393E"/>
    <w:rsid w:val="00C93A85"/>
    <w:rsid w:val="00C94FC1"/>
    <w:rsid w:val="00C96F36"/>
    <w:rsid w:val="00CA7945"/>
    <w:rsid w:val="00CB4B82"/>
    <w:rsid w:val="00CC0205"/>
    <w:rsid w:val="00CC430B"/>
    <w:rsid w:val="00CC63B2"/>
    <w:rsid w:val="00CC7505"/>
    <w:rsid w:val="00CD2906"/>
    <w:rsid w:val="00CD2A8E"/>
    <w:rsid w:val="00CD2D4F"/>
    <w:rsid w:val="00CD5E3C"/>
    <w:rsid w:val="00CD6041"/>
    <w:rsid w:val="00CD6476"/>
    <w:rsid w:val="00CD7BA9"/>
    <w:rsid w:val="00CE31AF"/>
    <w:rsid w:val="00CE3272"/>
    <w:rsid w:val="00CE47FC"/>
    <w:rsid w:val="00CE6451"/>
    <w:rsid w:val="00CF0CC1"/>
    <w:rsid w:val="00CF10EA"/>
    <w:rsid w:val="00CF3A5A"/>
    <w:rsid w:val="00CF43D8"/>
    <w:rsid w:val="00CF49AC"/>
    <w:rsid w:val="00CF729C"/>
    <w:rsid w:val="00CF75AD"/>
    <w:rsid w:val="00CF7B08"/>
    <w:rsid w:val="00D01D9A"/>
    <w:rsid w:val="00D050A1"/>
    <w:rsid w:val="00D06658"/>
    <w:rsid w:val="00D1027A"/>
    <w:rsid w:val="00D10663"/>
    <w:rsid w:val="00D12DCC"/>
    <w:rsid w:val="00D14EAD"/>
    <w:rsid w:val="00D1693B"/>
    <w:rsid w:val="00D16E4D"/>
    <w:rsid w:val="00D17ECD"/>
    <w:rsid w:val="00D20338"/>
    <w:rsid w:val="00D23D3F"/>
    <w:rsid w:val="00D23E57"/>
    <w:rsid w:val="00D24BFC"/>
    <w:rsid w:val="00D25D5E"/>
    <w:rsid w:val="00D26766"/>
    <w:rsid w:val="00D30929"/>
    <w:rsid w:val="00D312EF"/>
    <w:rsid w:val="00D328AB"/>
    <w:rsid w:val="00D33C3E"/>
    <w:rsid w:val="00D357FE"/>
    <w:rsid w:val="00D37AEA"/>
    <w:rsid w:val="00D46EE9"/>
    <w:rsid w:val="00D53336"/>
    <w:rsid w:val="00D60914"/>
    <w:rsid w:val="00D74F2E"/>
    <w:rsid w:val="00D75B3D"/>
    <w:rsid w:val="00D777DA"/>
    <w:rsid w:val="00D90A9D"/>
    <w:rsid w:val="00D92316"/>
    <w:rsid w:val="00D93B3E"/>
    <w:rsid w:val="00D9573B"/>
    <w:rsid w:val="00D96F66"/>
    <w:rsid w:val="00DA0A05"/>
    <w:rsid w:val="00DA41BB"/>
    <w:rsid w:val="00DA495A"/>
    <w:rsid w:val="00DB15EC"/>
    <w:rsid w:val="00DB4546"/>
    <w:rsid w:val="00DB752B"/>
    <w:rsid w:val="00DC1051"/>
    <w:rsid w:val="00DC151A"/>
    <w:rsid w:val="00DC6309"/>
    <w:rsid w:val="00DC6A72"/>
    <w:rsid w:val="00DC79F2"/>
    <w:rsid w:val="00DC7CCA"/>
    <w:rsid w:val="00DC7E12"/>
    <w:rsid w:val="00DD00FA"/>
    <w:rsid w:val="00DD0A54"/>
    <w:rsid w:val="00DE1A18"/>
    <w:rsid w:val="00DE236F"/>
    <w:rsid w:val="00DE364D"/>
    <w:rsid w:val="00DE5A08"/>
    <w:rsid w:val="00DE6E8C"/>
    <w:rsid w:val="00DE6EBF"/>
    <w:rsid w:val="00DF013D"/>
    <w:rsid w:val="00DF2C8A"/>
    <w:rsid w:val="00DF3584"/>
    <w:rsid w:val="00DF3944"/>
    <w:rsid w:val="00DF7480"/>
    <w:rsid w:val="00DF7ED8"/>
    <w:rsid w:val="00E00C03"/>
    <w:rsid w:val="00E0182D"/>
    <w:rsid w:val="00E022B8"/>
    <w:rsid w:val="00E023E3"/>
    <w:rsid w:val="00E02D5F"/>
    <w:rsid w:val="00E07F2A"/>
    <w:rsid w:val="00E11129"/>
    <w:rsid w:val="00E115BA"/>
    <w:rsid w:val="00E13E51"/>
    <w:rsid w:val="00E13F1B"/>
    <w:rsid w:val="00E13F3B"/>
    <w:rsid w:val="00E15F4E"/>
    <w:rsid w:val="00E163CE"/>
    <w:rsid w:val="00E217A2"/>
    <w:rsid w:val="00E22236"/>
    <w:rsid w:val="00E22F8B"/>
    <w:rsid w:val="00E2433D"/>
    <w:rsid w:val="00E27704"/>
    <w:rsid w:val="00E306B7"/>
    <w:rsid w:val="00E3122A"/>
    <w:rsid w:val="00E326C2"/>
    <w:rsid w:val="00E37EF6"/>
    <w:rsid w:val="00E40113"/>
    <w:rsid w:val="00E41136"/>
    <w:rsid w:val="00E44C29"/>
    <w:rsid w:val="00E45625"/>
    <w:rsid w:val="00E45E94"/>
    <w:rsid w:val="00E47FA8"/>
    <w:rsid w:val="00E53251"/>
    <w:rsid w:val="00E5391F"/>
    <w:rsid w:val="00E53F50"/>
    <w:rsid w:val="00E56433"/>
    <w:rsid w:val="00E569EA"/>
    <w:rsid w:val="00E61D84"/>
    <w:rsid w:val="00E66087"/>
    <w:rsid w:val="00E672BD"/>
    <w:rsid w:val="00E70259"/>
    <w:rsid w:val="00E72819"/>
    <w:rsid w:val="00E77A29"/>
    <w:rsid w:val="00E80653"/>
    <w:rsid w:val="00E8298C"/>
    <w:rsid w:val="00E86D26"/>
    <w:rsid w:val="00E86F08"/>
    <w:rsid w:val="00E9040D"/>
    <w:rsid w:val="00E93AC5"/>
    <w:rsid w:val="00E976F4"/>
    <w:rsid w:val="00EA283E"/>
    <w:rsid w:val="00EA4698"/>
    <w:rsid w:val="00EA5C1A"/>
    <w:rsid w:val="00EA645A"/>
    <w:rsid w:val="00EB0097"/>
    <w:rsid w:val="00EB5D82"/>
    <w:rsid w:val="00EC4F91"/>
    <w:rsid w:val="00ED42D8"/>
    <w:rsid w:val="00ED4824"/>
    <w:rsid w:val="00ED7202"/>
    <w:rsid w:val="00ED7B2E"/>
    <w:rsid w:val="00EE18C4"/>
    <w:rsid w:val="00EE31FF"/>
    <w:rsid w:val="00EE45CF"/>
    <w:rsid w:val="00EF0F58"/>
    <w:rsid w:val="00EF1CFA"/>
    <w:rsid w:val="00EF1FA9"/>
    <w:rsid w:val="00EF4080"/>
    <w:rsid w:val="00EF6CCC"/>
    <w:rsid w:val="00EF70AC"/>
    <w:rsid w:val="00EF75A6"/>
    <w:rsid w:val="00F0009A"/>
    <w:rsid w:val="00F01F0F"/>
    <w:rsid w:val="00F065C5"/>
    <w:rsid w:val="00F1069F"/>
    <w:rsid w:val="00F110D7"/>
    <w:rsid w:val="00F11D74"/>
    <w:rsid w:val="00F127CB"/>
    <w:rsid w:val="00F127DD"/>
    <w:rsid w:val="00F159E3"/>
    <w:rsid w:val="00F15E3B"/>
    <w:rsid w:val="00F16534"/>
    <w:rsid w:val="00F171F1"/>
    <w:rsid w:val="00F21C9A"/>
    <w:rsid w:val="00F23B7C"/>
    <w:rsid w:val="00F30715"/>
    <w:rsid w:val="00F414D8"/>
    <w:rsid w:val="00F42379"/>
    <w:rsid w:val="00F428A6"/>
    <w:rsid w:val="00F433DA"/>
    <w:rsid w:val="00F47B4A"/>
    <w:rsid w:val="00F54569"/>
    <w:rsid w:val="00F55A04"/>
    <w:rsid w:val="00F5756D"/>
    <w:rsid w:val="00F578DA"/>
    <w:rsid w:val="00F57F22"/>
    <w:rsid w:val="00F61915"/>
    <w:rsid w:val="00F66C6E"/>
    <w:rsid w:val="00F66E10"/>
    <w:rsid w:val="00F70ACD"/>
    <w:rsid w:val="00F71090"/>
    <w:rsid w:val="00F710B0"/>
    <w:rsid w:val="00F72D83"/>
    <w:rsid w:val="00F72DA0"/>
    <w:rsid w:val="00F7524D"/>
    <w:rsid w:val="00F80066"/>
    <w:rsid w:val="00F81BF2"/>
    <w:rsid w:val="00F84290"/>
    <w:rsid w:val="00F915DF"/>
    <w:rsid w:val="00F95AD2"/>
    <w:rsid w:val="00F97F52"/>
    <w:rsid w:val="00FA1675"/>
    <w:rsid w:val="00FA2078"/>
    <w:rsid w:val="00FA275E"/>
    <w:rsid w:val="00FB07B2"/>
    <w:rsid w:val="00FB1F47"/>
    <w:rsid w:val="00FB4161"/>
    <w:rsid w:val="00FB71BD"/>
    <w:rsid w:val="00FB7D65"/>
    <w:rsid w:val="00FC0D68"/>
    <w:rsid w:val="00FC35AF"/>
    <w:rsid w:val="00FC4773"/>
    <w:rsid w:val="00FD2154"/>
    <w:rsid w:val="00FD7CBC"/>
    <w:rsid w:val="00FE1DC8"/>
    <w:rsid w:val="00FE29DC"/>
    <w:rsid w:val="00FE7718"/>
    <w:rsid w:val="00FF1B90"/>
    <w:rsid w:val="00FF3207"/>
    <w:rsid w:val="00FF3AF7"/>
    <w:rsid w:val="00FF43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268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3FB1-53D6-49FF-88F7-D0B5FFA6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2022-04-26T11:40:00Z</dcterms:created>
  <dcterms:modified xsi:type="dcterms:W3CDTF">2022-04-26T11:42:00Z</dcterms:modified>
</cp:coreProperties>
</file>