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705E" w14:textId="77777777" w:rsidR="000F257A" w:rsidRDefault="000F257A"/>
    <w:p w14:paraId="68E7BD48" w14:textId="77777777" w:rsidR="00E831EC" w:rsidRPr="00C92C86" w:rsidRDefault="00E831EC" w:rsidP="00C92C86">
      <w:pPr>
        <w:pStyle w:val="Title"/>
        <w:rPr>
          <w:rFonts w:ascii="Arial" w:hAnsi="Arial" w:cs="Arial"/>
          <w:sz w:val="36"/>
          <w:szCs w:val="36"/>
        </w:rPr>
      </w:pPr>
      <w:r w:rsidRPr="00C92C86">
        <w:rPr>
          <w:rFonts w:ascii="Arial" w:hAnsi="Arial" w:cs="Arial"/>
          <w:sz w:val="36"/>
          <w:szCs w:val="36"/>
        </w:rPr>
        <w:t xml:space="preserve">Wales Committee input on single sex services guidance </w:t>
      </w:r>
    </w:p>
    <w:p w14:paraId="711DAEC4" w14:textId="77777777" w:rsidR="001C77E5" w:rsidRPr="00C92C86" w:rsidRDefault="00E831EC" w:rsidP="00C92C86">
      <w:pPr>
        <w:rPr>
          <w:rFonts w:ascii="Arial" w:hAnsi="Arial" w:cs="Arial"/>
          <w:b/>
          <w:bCs/>
          <w:color w:val="121212"/>
          <w:sz w:val="24"/>
          <w:szCs w:val="24"/>
        </w:rPr>
      </w:pPr>
      <w:r w:rsidRPr="00C92C86">
        <w:rPr>
          <w:rFonts w:ascii="Arial" w:hAnsi="Arial" w:cs="Arial"/>
          <w:b/>
          <w:bCs/>
          <w:sz w:val="24"/>
          <w:szCs w:val="24"/>
        </w:rPr>
        <w:t xml:space="preserve">As discussed during </w:t>
      </w:r>
      <w:r w:rsidR="0011005B" w:rsidRPr="00C92C86">
        <w:rPr>
          <w:rFonts w:ascii="Arial" w:hAnsi="Arial" w:cs="Arial"/>
          <w:b/>
          <w:bCs/>
          <w:sz w:val="24"/>
          <w:szCs w:val="24"/>
        </w:rPr>
        <w:t xml:space="preserve">an </w:t>
      </w:r>
      <w:r w:rsidRPr="00C92C86">
        <w:rPr>
          <w:rFonts w:ascii="Arial" w:hAnsi="Arial" w:cs="Arial"/>
          <w:b/>
          <w:bCs/>
          <w:sz w:val="24"/>
          <w:szCs w:val="24"/>
        </w:rPr>
        <w:t xml:space="preserve">extraordinary meeting of the Wales Committee on </w:t>
      </w:r>
      <w:r w:rsidR="001C77E5" w:rsidRPr="00C92C86">
        <w:rPr>
          <w:rFonts w:ascii="Arial" w:hAnsi="Arial" w:cs="Arial"/>
          <w:b/>
          <w:bCs/>
          <w:color w:val="121212"/>
          <w:sz w:val="24"/>
          <w:szCs w:val="24"/>
        </w:rPr>
        <w:t>Thursday 3</w:t>
      </w:r>
      <w:r w:rsidR="001C77E5" w:rsidRPr="00C92C86">
        <w:rPr>
          <w:rFonts w:ascii="Arial" w:hAnsi="Arial" w:cs="Arial"/>
          <w:b/>
          <w:bCs/>
          <w:color w:val="121212"/>
          <w:sz w:val="24"/>
          <w:szCs w:val="24"/>
          <w:vertAlign w:val="superscript"/>
        </w:rPr>
        <w:t>rd</w:t>
      </w:r>
      <w:r w:rsidR="001C77E5" w:rsidRPr="00C92C86">
        <w:rPr>
          <w:rFonts w:ascii="Arial" w:hAnsi="Arial" w:cs="Arial"/>
          <w:b/>
          <w:bCs/>
          <w:color w:val="121212"/>
          <w:sz w:val="24"/>
          <w:szCs w:val="24"/>
        </w:rPr>
        <w:t xml:space="preserve"> March 2022</w:t>
      </w:r>
      <w:r w:rsidRPr="00C92C86">
        <w:rPr>
          <w:rFonts w:ascii="Arial" w:hAnsi="Arial" w:cs="Arial"/>
          <w:b/>
          <w:bCs/>
          <w:color w:val="121212"/>
          <w:sz w:val="24"/>
          <w:szCs w:val="24"/>
        </w:rPr>
        <w:t xml:space="preserve">, </w:t>
      </w:r>
      <w:r w:rsidR="001C77E5" w:rsidRPr="00C92C86">
        <w:rPr>
          <w:rFonts w:ascii="Arial" w:hAnsi="Arial" w:cs="Arial"/>
          <w:b/>
          <w:bCs/>
          <w:color w:val="121212"/>
          <w:sz w:val="24"/>
          <w:szCs w:val="24"/>
        </w:rPr>
        <w:t>09:00 – 10:00</w:t>
      </w:r>
      <w:r w:rsidR="0011005B" w:rsidRPr="00C92C86">
        <w:rPr>
          <w:rFonts w:ascii="Arial" w:hAnsi="Arial" w:cs="Arial"/>
          <w:b/>
          <w:bCs/>
          <w:color w:val="121212"/>
          <w:sz w:val="24"/>
          <w:szCs w:val="24"/>
        </w:rPr>
        <w:t>, via Webex</w:t>
      </w:r>
    </w:p>
    <w:p w14:paraId="1AC682D3" w14:textId="77777777" w:rsidR="001C77E5" w:rsidRPr="00C92C86" w:rsidRDefault="001C77E5" w:rsidP="00C92C86">
      <w:pPr>
        <w:rPr>
          <w:rFonts w:ascii="Arial" w:hAnsi="Arial" w:cs="Arial"/>
          <w:b/>
          <w:bCs/>
          <w:color w:val="121212"/>
          <w:sz w:val="24"/>
          <w:szCs w:val="24"/>
        </w:rPr>
      </w:pPr>
    </w:p>
    <w:sdt>
      <w:sdtPr>
        <w:rPr>
          <w:rFonts w:ascii="Calibri" w:eastAsiaTheme="minorHAnsi" w:hAnsi="Calibri" w:cs="Calibri"/>
          <w:color w:val="auto"/>
          <w:sz w:val="22"/>
          <w:szCs w:val="22"/>
          <w:lang w:val="en-GB"/>
        </w:rPr>
        <w:id w:val="1192799618"/>
        <w:docPartObj>
          <w:docPartGallery w:val="Table of Contents"/>
          <w:docPartUnique/>
        </w:docPartObj>
      </w:sdtPr>
      <w:sdtEndPr>
        <w:rPr>
          <w:b/>
          <w:bCs/>
          <w:noProof/>
        </w:rPr>
      </w:sdtEndPr>
      <w:sdtContent>
        <w:p w14:paraId="5D21CF24" w14:textId="5A950FCE" w:rsidR="00C92C86" w:rsidRDefault="00C92C86">
          <w:pPr>
            <w:pStyle w:val="TOCHeading"/>
          </w:pPr>
          <w:r>
            <w:t>Contents</w:t>
          </w:r>
        </w:p>
        <w:p w14:paraId="21601B93" w14:textId="0BB2B420" w:rsidR="00C92C86" w:rsidRDefault="00C92C86">
          <w:pPr>
            <w:pStyle w:val="TOC1"/>
            <w:tabs>
              <w:tab w:val="right" w:leader="dot" w:pos="9016"/>
            </w:tabs>
            <w:rPr>
              <w:noProof/>
            </w:rPr>
          </w:pPr>
          <w:r>
            <w:fldChar w:fldCharType="begin"/>
          </w:r>
          <w:r>
            <w:instrText xml:space="preserve"> TOC \o "1-3" \h \z \u </w:instrText>
          </w:r>
          <w:r>
            <w:fldChar w:fldCharType="separate"/>
          </w:r>
          <w:hyperlink w:anchor="_Toc144823395" w:history="1">
            <w:r w:rsidRPr="00E94904">
              <w:rPr>
                <w:rStyle w:val="Hyperlink"/>
                <w:rFonts w:ascii="Arial" w:hAnsi="Arial" w:cs="Arial"/>
                <w:b/>
                <w:bCs/>
                <w:noProof/>
              </w:rPr>
              <w:t>Present</w:t>
            </w:r>
            <w:r>
              <w:rPr>
                <w:noProof/>
                <w:webHidden/>
              </w:rPr>
              <w:tab/>
            </w:r>
            <w:r>
              <w:rPr>
                <w:noProof/>
                <w:webHidden/>
              </w:rPr>
              <w:fldChar w:fldCharType="begin"/>
            </w:r>
            <w:r>
              <w:rPr>
                <w:noProof/>
                <w:webHidden/>
              </w:rPr>
              <w:instrText xml:space="preserve"> PAGEREF _Toc144823395 \h </w:instrText>
            </w:r>
            <w:r>
              <w:rPr>
                <w:noProof/>
                <w:webHidden/>
              </w:rPr>
            </w:r>
            <w:r>
              <w:rPr>
                <w:noProof/>
                <w:webHidden/>
              </w:rPr>
              <w:fldChar w:fldCharType="separate"/>
            </w:r>
            <w:r>
              <w:rPr>
                <w:noProof/>
                <w:webHidden/>
              </w:rPr>
              <w:t>1</w:t>
            </w:r>
            <w:r>
              <w:rPr>
                <w:noProof/>
                <w:webHidden/>
              </w:rPr>
              <w:fldChar w:fldCharType="end"/>
            </w:r>
          </w:hyperlink>
        </w:p>
        <w:p w14:paraId="7F0EA4EC" w14:textId="76ED3CCA" w:rsidR="00C92C86" w:rsidRDefault="00DB4D6D">
          <w:pPr>
            <w:pStyle w:val="TOC1"/>
            <w:tabs>
              <w:tab w:val="right" w:leader="dot" w:pos="9016"/>
            </w:tabs>
            <w:rPr>
              <w:noProof/>
            </w:rPr>
          </w:pPr>
          <w:hyperlink w:anchor="_Toc144823396" w:history="1">
            <w:r w:rsidR="00C92C86" w:rsidRPr="00E94904">
              <w:rPr>
                <w:rStyle w:val="Hyperlink"/>
                <w:rFonts w:ascii="Arial" w:hAnsi="Arial" w:cs="Arial"/>
                <w:b/>
                <w:bCs/>
                <w:noProof/>
              </w:rPr>
              <w:t>Notes from meeting</w:t>
            </w:r>
            <w:r w:rsidR="00C92C86">
              <w:rPr>
                <w:noProof/>
                <w:webHidden/>
              </w:rPr>
              <w:tab/>
            </w:r>
            <w:r w:rsidR="00C92C86">
              <w:rPr>
                <w:noProof/>
                <w:webHidden/>
              </w:rPr>
              <w:fldChar w:fldCharType="begin"/>
            </w:r>
            <w:r w:rsidR="00C92C86">
              <w:rPr>
                <w:noProof/>
                <w:webHidden/>
              </w:rPr>
              <w:instrText xml:space="preserve"> PAGEREF _Toc144823396 \h </w:instrText>
            </w:r>
            <w:r w:rsidR="00C92C86">
              <w:rPr>
                <w:noProof/>
                <w:webHidden/>
              </w:rPr>
            </w:r>
            <w:r w:rsidR="00C92C86">
              <w:rPr>
                <w:noProof/>
                <w:webHidden/>
              </w:rPr>
              <w:fldChar w:fldCharType="separate"/>
            </w:r>
            <w:r w:rsidR="00C92C86">
              <w:rPr>
                <w:noProof/>
                <w:webHidden/>
              </w:rPr>
              <w:t>1</w:t>
            </w:r>
            <w:r w:rsidR="00C92C86">
              <w:rPr>
                <w:noProof/>
                <w:webHidden/>
              </w:rPr>
              <w:fldChar w:fldCharType="end"/>
            </w:r>
          </w:hyperlink>
        </w:p>
        <w:p w14:paraId="6FD9FFB9" w14:textId="4C7866DE" w:rsidR="00C92C86" w:rsidRDefault="00DB4D6D">
          <w:pPr>
            <w:pStyle w:val="TOC1"/>
            <w:tabs>
              <w:tab w:val="right" w:leader="dot" w:pos="9016"/>
            </w:tabs>
            <w:rPr>
              <w:noProof/>
            </w:rPr>
          </w:pPr>
          <w:hyperlink w:anchor="_Toc144823397" w:history="1">
            <w:r w:rsidR="00C92C86" w:rsidRPr="00E94904">
              <w:rPr>
                <w:rStyle w:val="Hyperlink"/>
                <w:rFonts w:ascii="Arial" w:hAnsi="Arial" w:cs="Arial"/>
                <w:b/>
                <w:bCs/>
                <w:noProof/>
              </w:rPr>
              <w:t>Appendix A: Comments from Wales Committee member received via correspondence</w:t>
            </w:r>
            <w:r w:rsidR="00C92C86">
              <w:rPr>
                <w:noProof/>
                <w:webHidden/>
              </w:rPr>
              <w:tab/>
            </w:r>
            <w:r w:rsidR="00C92C86">
              <w:rPr>
                <w:noProof/>
                <w:webHidden/>
              </w:rPr>
              <w:fldChar w:fldCharType="begin"/>
            </w:r>
            <w:r w:rsidR="00C92C86">
              <w:rPr>
                <w:noProof/>
                <w:webHidden/>
              </w:rPr>
              <w:instrText xml:space="preserve"> PAGEREF _Toc144823397 \h </w:instrText>
            </w:r>
            <w:r w:rsidR="00C92C86">
              <w:rPr>
                <w:noProof/>
                <w:webHidden/>
              </w:rPr>
            </w:r>
            <w:r w:rsidR="00C92C86">
              <w:rPr>
                <w:noProof/>
                <w:webHidden/>
              </w:rPr>
              <w:fldChar w:fldCharType="separate"/>
            </w:r>
            <w:r w:rsidR="00C92C86">
              <w:rPr>
                <w:noProof/>
                <w:webHidden/>
              </w:rPr>
              <w:t>3</w:t>
            </w:r>
            <w:r w:rsidR="00C92C86">
              <w:rPr>
                <w:noProof/>
                <w:webHidden/>
              </w:rPr>
              <w:fldChar w:fldCharType="end"/>
            </w:r>
          </w:hyperlink>
        </w:p>
        <w:p w14:paraId="751486E5" w14:textId="420F2897" w:rsidR="00C92C86" w:rsidRDefault="00C92C86">
          <w:r>
            <w:rPr>
              <w:b/>
              <w:bCs/>
              <w:noProof/>
            </w:rPr>
            <w:fldChar w:fldCharType="end"/>
          </w:r>
        </w:p>
      </w:sdtContent>
    </w:sdt>
    <w:p w14:paraId="6F445997" w14:textId="77777777" w:rsidR="00C92C86" w:rsidRDefault="00C92C86">
      <w:pPr>
        <w:spacing w:after="160" w:line="259" w:lineRule="auto"/>
        <w:rPr>
          <w:rFonts w:ascii="Arial" w:eastAsiaTheme="majorEastAsia" w:hAnsi="Arial" w:cs="Arial"/>
          <w:b/>
          <w:bCs/>
          <w:sz w:val="24"/>
          <w:szCs w:val="24"/>
        </w:rPr>
      </w:pPr>
      <w:bookmarkStart w:id="0" w:name="_Toc144823395"/>
      <w:r>
        <w:rPr>
          <w:rFonts w:ascii="Arial" w:hAnsi="Arial" w:cs="Arial"/>
          <w:b/>
          <w:bCs/>
          <w:sz w:val="24"/>
          <w:szCs w:val="24"/>
        </w:rPr>
        <w:br w:type="page"/>
      </w:r>
    </w:p>
    <w:p w14:paraId="2471EE85" w14:textId="57122C8F" w:rsidR="001C77E5" w:rsidRPr="00C92C86" w:rsidRDefault="001C77E5" w:rsidP="00C92C86">
      <w:pPr>
        <w:pStyle w:val="Heading1"/>
        <w:rPr>
          <w:rFonts w:ascii="Arial" w:hAnsi="Arial" w:cs="Arial"/>
          <w:b/>
          <w:bCs/>
          <w:color w:val="auto"/>
          <w:sz w:val="24"/>
          <w:szCs w:val="24"/>
        </w:rPr>
      </w:pPr>
      <w:r w:rsidRPr="00C92C86">
        <w:rPr>
          <w:rFonts w:ascii="Arial" w:hAnsi="Arial" w:cs="Arial"/>
          <w:b/>
          <w:bCs/>
          <w:color w:val="auto"/>
          <w:sz w:val="24"/>
          <w:szCs w:val="24"/>
        </w:rPr>
        <w:lastRenderedPageBreak/>
        <w:t>Present</w:t>
      </w:r>
      <w:bookmarkEnd w:id="0"/>
    </w:p>
    <w:p w14:paraId="41D81E3C" w14:textId="77777777" w:rsidR="001C77E5" w:rsidRPr="00C92C86" w:rsidRDefault="001C77E5" w:rsidP="001C77E5">
      <w:pPr>
        <w:rPr>
          <w:rFonts w:ascii="Arial" w:hAnsi="Arial" w:cs="Arial"/>
          <w:bCs/>
          <w:color w:val="121212"/>
          <w:sz w:val="24"/>
          <w:szCs w:val="24"/>
          <w:highlight w:val="yellow"/>
        </w:rPr>
      </w:pPr>
    </w:p>
    <w:p w14:paraId="1B0CCD4C" w14:textId="7AF38FA4" w:rsidR="00E831EC" w:rsidRPr="00C92C86" w:rsidRDefault="001C77E5" w:rsidP="00E831EC">
      <w:pPr>
        <w:rPr>
          <w:rFonts w:ascii="Arial" w:hAnsi="Arial" w:cs="Arial"/>
          <w:bCs/>
          <w:color w:val="121212"/>
          <w:sz w:val="24"/>
          <w:szCs w:val="24"/>
        </w:rPr>
      </w:pPr>
      <w:r w:rsidRPr="00C92C86">
        <w:rPr>
          <w:rFonts w:ascii="Arial" w:hAnsi="Arial" w:cs="Arial"/>
          <w:bCs/>
          <w:color w:val="121212"/>
          <w:sz w:val="24"/>
          <w:szCs w:val="24"/>
        </w:rPr>
        <w:t>Alison Parken</w:t>
      </w:r>
      <w:r w:rsidR="00E831EC" w:rsidRPr="00C92C86">
        <w:rPr>
          <w:rFonts w:ascii="Arial" w:hAnsi="Arial" w:cs="Arial"/>
          <w:bCs/>
          <w:color w:val="121212"/>
          <w:sz w:val="24"/>
          <w:szCs w:val="24"/>
        </w:rPr>
        <w:tab/>
      </w:r>
      <w:r w:rsidR="00E831EC" w:rsidRPr="00C92C86">
        <w:rPr>
          <w:rFonts w:ascii="Arial" w:hAnsi="Arial" w:cs="Arial"/>
          <w:bCs/>
          <w:color w:val="121212"/>
          <w:sz w:val="24"/>
          <w:szCs w:val="24"/>
        </w:rPr>
        <w:tab/>
        <w:t>Martyn Jones</w:t>
      </w:r>
    </w:p>
    <w:p w14:paraId="552CACDB" w14:textId="6CDA8CD9" w:rsidR="00E831EC" w:rsidRPr="00C92C86" w:rsidRDefault="001C77E5" w:rsidP="00E831EC">
      <w:pPr>
        <w:rPr>
          <w:rFonts w:ascii="Arial" w:hAnsi="Arial" w:cs="Arial"/>
          <w:bCs/>
          <w:color w:val="121212"/>
          <w:sz w:val="24"/>
          <w:szCs w:val="24"/>
        </w:rPr>
      </w:pPr>
      <w:r w:rsidRPr="00C92C86">
        <w:rPr>
          <w:rFonts w:ascii="Arial" w:hAnsi="Arial" w:cs="Arial"/>
          <w:bCs/>
          <w:color w:val="121212"/>
          <w:sz w:val="24"/>
          <w:szCs w:val="24"/>
        </w:rPr>
        <w:t xml:space="preserve">Geraint Hopkins </w:t>
      </w:r>
      <w:r w:rsidR="00E831EC" w:rsidRPr="00C92C86">
        <w:rPr>
          <w:rFonts w:ascii="Arial" w:hAnsi="Arial" w:cs="Arial"/>
          <w:bCs/>
          <w:color w:val="121212"/>
          <w:sz w:val="24"/>
          <w:szCs w:val="24"/>
        </w:rPr>
        <w:tab/>
      </w:r>
      <w:r w:rsidR="00C92C86">
        <w:rPr>
          <w:rFonts w:ascii="Arial" w:hAnsi="Arial" w:cs="Arial"/>
          <w:bCs/>
          <w:color w:val="121212"/>
          <w:sz w:val="24"/>
          <w:szCs w:val="24"/>
        </w:rPr>
        <w:tab/>
      </w:r>
      <w:r w:rsidR="00E831EC" w:rsidRPr="00C92C86">
        <w:rPr>
          <w:rFonts w:ascii="Arial" w:hAnsi="Arial" w:cs="Arial"/>
          <w:bCs/>
          <w:color w:val="121212"/>
          <w:sz w:val="24"/>
          <w:szCs w:val="24"/>
        </w:rPr>
        <w:t>Mark Sykes</w:t>
      </w:r>
    </w:p>
    <w:p w14:paraId="2DF03C01" w14:textId="175A4DDB" w:rsidR="00E831EC" w:rsidRPr="00C92C86" w:rsidRDefault="001C77E5" w:rsidP="00E831EC">
      <w:pPr>
        <w:rPr>
          <w:rFonts w:ascii="Arial" w:hAnsi="Arial" w:cs="Arial"/>
          <w:bCs/>
          <w:color w:val="121212"/>
          <w:sz w:val="24"/>
          <w:szCs w:val="24"/>
        </w:rPr>
      </w:pPr>
      <w:r w:rsidRPr="00C92C86">
        <w:rPr>
          <w:rFonts w:ascii="Arial" w:hAnsi="Arial" w:cs="Arial"/>
          <w:bCs/>
          <w:color w:val="121212"/>
          <w:sz w:val="24"/>
          <w:szCs w:val="24"/>
        </w:rPr>
        <w:t>Jackie Killeen</w:t>
      </w:r>
      <w:r w:rsidR="00E831EC" w:rsidRPr="00C92C86">
        <w:rPr>
          <w:rFonts w:ascii="Arial" w:hAnsi="Arial" w:cs="Arial"/>
          <w:bCs/>
          <w:color w:val="121212"/>
          <w:sz w:val="24"/>
          <w:szCs w:val="24"/>
        </w:rPr>
        <w:tab/>
      </w:r>
      <w:r w:rsidR="00E831EC" w:rsidRPr="00C92C86">
        <w:rPr>
          <w:rFonts w:ascii="Arial" w:hAnsi="Arial" w:cs="Arial"/>
          <w:bCs/>
          <w:color w:val="121212"/>
          <w:sz w:val="24"/>
          <w:szCs w:val="24"/>
        </w:rPr>
        <w:tab/>
        <w:t>Ruth Coombs</w:t>
      </w:r>
    </w:p>
    <w:p w14:paraId="743AC229" w14:textId="7E69891F" w:rsidR="00E831EC" w:rsidRPr="00C92C86" w:rsidRDefault="001C77E5" w:rsidP="00E831EC">
      <w:pPr>
        <w:rPr>
          <w:rFonts w:ascii="Arial" w:hAnsi="Arial" w:cs="Arial"/>
          <w:bCs/>
          <w:color w:val="121212"/>
          <w:sz w:val="24"/>
          <w:szCs w:val="24"/>
        </w:rPr>
      </w:pPr>
      <w:r w:rsidRPr="00C92C86">
        <w:rPr>
          <w:rFonts w:ascii="Arial" w:hAnsi="Arial" w:cs="Arial"/>
          <w:bCs/>
          <w:color w:val="121212"/>
          <w:sz w:val="24"/>
          <w:szCs w:val="24"/>
        </w:rPr>
        <w:t>Marcial Boo</w:t>
      </w:r>
      <w:r w:rsidR="00E831EC" w:rsidRPr="00C92C86">
        <w:rPr>
          <w:rFonts w:ascii="Arial" w:hAnsi="Arial" w:cs="Arial"/>
          <w:bCs/>
          <w:color w:val="121212"/>
          <w:sz w:val="24"/>
          <w:szCs w:val="24"/>
        </w:rPr>
        <w:tab/>
      </w:r>
      <w:r w:rsidR="00E831EC" w:rsidRPr="00C92C86">
        <w:rPr>
          <w:rFonts w:ascii="Arial" w:hAnsi="Arial" w:cs="Arial"/>
          <w:bCs/>
          <w:color w:val="121212"/>
          <w:sz w:val="24"/>
          <w:szCs w:val="24"/>
        </w:rPr>
        <w:tab/>
      </w:r>
      <w:r w:rsidR="00C92C86">
        <w:rPr>
          <w:rFonts w:ascii="Arial" w:hAnsi="Arial" w:cs="Arial"/>
          <w:bCs/>
          <w:color w:val="121212"/>
          <w:sz w:val="24"/>
          <w:szCs w:val="24"/>
        </w:rPr>
        <w:tab/>
      </w:r>
      <w:r w:rsidR="00E831EC" w:rsidRPr="00C92C86">
        <w:rPr>
          <w:rFonts w:ascii="Arial" w:hAnsi="Arial" w:cs="Arial"/>
          <w:bCs/>
          <w:color w:val="121212"/>
          <w:sz w:val="24"/>
          <w:szCs w:val="24"/>
        </w:rPr>
        <w:t>Ruth Doubleday</w:t>
      </w:r>
    </w:p>
    <w:p w14:paraId="0D3789E5" w14:textId="77777777" w:rsidR="001C77E5" w:rsidRPr="00C92C86" w:rsidRDefault="001C77E5" w:rsidP="001C77E5">
      <w:pPr>
        <w:rPr>
          <w:rFonts w:ascii="Arial" w:hAnsi="Arial" w:cs="Arial"/>
          <w:bCs/>
          <w:color w:val="121212"/>
          <w:sz w:val="24"/>
          <w:szCs w:val="24"/>
        </w:rPr>
      </w:pPr>
      <w:r w:rsidRPr="00C92C86">
        <w:rPr>
          <w:rFonts w:ascii="Arial" w:hAnsi="Arial" w:cs="Arial"/>
          <w:bCs/>
          <w:color w:val="121212"/>
          <w:sz w:val="24"/>
          <w:szCs w:val="24"/>
        </w:rPr>
        <w:t>Melanie Field</w:t>
      </w:r>
    </w:p>
    <w:p w14:paraId="26B1D85B" w14:textId="77777777" w:rsidR="001C77E5" w:rsidRPr="00C92C86" w:rsidRDefault="001C77E5" w:rsidP="001C77E5">
      <w:pPr>
        <w:rPr>
          <w:rFonts w:ascii="Arial" w:hAnsi="Arial" w:cs="Arial"/>
          <w:bCs/>
          <w:color w:val="121212"/>
          <w:sz w:val="24"/>
          <w:szCs w:val="24"/>
        </w:rPr>
      </w:pPr>
    </w:p>
    <w:p w14:paraId="0FC5DD73" w14:textId="77777777" w:rsidR="00E831EC" w:rsidRPr="00C92C86" w:rsidRDefault="00E831EC" w:rsidP="001C77E5">
      <w:pPr>
        <w:rPr>
          <w:rFonts w:ascii="Arial" w:hAnsi="Arial" w:cs="Arial"/>
          <w:b/>
          <w:bCs/>
          <w:color w:val="096755"/>
          <w:sz w:val="24"/>
          <w:szCs w:val="24"/>
        </w:rPr>
      </w:pPr>
    </w:p>
    <w:p w14:paraId="34CD35B5" w14:textId="3DB6E701" w:rsidR="001C77E5" w:rsidRPr="00C92C86" w:rsidRDefault="00E831EC" w:rsidP="00C92C86">
      <w:pPr>
        <w:pStyle w:val="Heading1"/>
        <w:rPr>
          <w:rFonts w:ascii="Arial" w:hAnsi="Arial" w:cs="Arial"/>
          <w:b/>
          <w:bCs/>
          <w:color w:val="auto"/>
          <w:sz w:val="24"/>
          <w:szCs w:val="24"/>
        </w:rPr>
      </w:pPr>
      <w:bookmarkStart w:id="1" w:name="_Toc144823396"/>
      <w:r w:rsidRPr="00C92C86">
        <w:rPr>
          <w:rFonts w:ascii="Arial" w:hAnsi="Arial" w:cs="Arial"/>
          <w:b/>
          <w:bCs/>
          <w:color w:val="auto"/>
          <w:sz w:val="24"/>
          <w:szCs w:val="24"/>
        </w:rPr>
        <w:t>Notes</w:t>
      </w:r>
      <w:r w:rsidR="00C92C86" w:rsidRPr="00C92C86">
        <w:rPr>
          <w:rFonts w:ascii="Arial" w:hAnsi="Arial" w:cs="Arial"/>
          <w:b/>
          <w:bCs/>
          <w:color w:val="auto"/>
          <w:sz w:val="24"/>
          <w:szCs w:val="24"/>
        </w:rPr>
        <w:t xml:space="preserve"> from </w:t>
      </w:r>
      <w:proofErr w:type="gramStart"/>
      <w:r w:rsidR="00C92C86" w:rsidRPr="00C92C86">
        <w:rPr>
          <w:rFonts w:ascii="Arial" w:hAnsi="Arial" w:cs="Arial"/>
          <w:b/>
          <w:bCs/>
          <w:color w:val="auto"/>
          <w:sz w:val="24"/>
          <w:szCs w:val="24"/>
        </w:rPr>
        <w:t>meeting</w:t>
      </w:r>
      <w:bookmarkEnd w:id="1"/>
      <w:proofErr w:type="gramEnd"/>
    </w:p>
    <w:p w14:paraId="3F922BAF" w14:textId="77777777" w:rsidR="00E831EC" w:rsidRPr="00C92C86" w:rsidRDefault="00E831EC" w:rsidP="001C77E5">
      <w:pPr>
        <w:rPr>
          <w:rFonts w:ascii="Arial" w:hAnsi="Arial" w:cs="Arial"/>
          <w:b/>
          <w:bCs/>
          <w:color w:val="096755"/>
          <w:sz w:val="24"/>
          <w:szCs w:val="24"/>
        </w:rPr>
      </w:pPr>
    </w:p>
    <w:p w14:paraId="65A2A4A0" w14:textId="77777777" w:rsidR="001C77E5" w:rsidRPr="00C92C86" w:rsidRDefault="00E831EC" w:rsidP="00C92C86">
      <w:pPr>
        <w:pStyle w:val="ListParagraph"/>
        <w:numPr>
          <w:ilvl w:val="0"/>
          <w:numId w:val="2"/>
        </w:numPr>
        <w:rPr>
          <w:rFonts w:ascii="Arial" w:hAnsi="Arial" w:cs="Arial"/>
          <w:bCs/>
          <w:color w:val="000000" w:themeColor="text1"/>
          <w:sz w:val="24"/>
          <w:szCs w:val="24"/>
        </w:rPr>
      </w:pPr>
      <w:r w:rsidRPr="00C92C86">
        <w:rPr>
          <w:rFonts w:ascii="Arial" w:hAnsi="Arial" w:cs="Arial"/>
          <w:bCs/>
          <w:color w:val="000000" w:themeColor="text1"/>
          <w:sz w:val="24"/>
          <w:szCs w:val="24"/>
        </w:rPr>
        <w:t xml:space="preserve">Jackie Killeen provided an introduction to the paper including an explanation of background, terminology, and the sensitivity of this topic. </w:t>
      </w:r>
      <w:r w:rsidR="0011005B" w:rsidRPr="00C92C86">
        <w:rPr>
          <w:rFonts w:ascii="Arial" w:hAnsi="Arial" w:cs="Arial"/>
          <w:bCs/>
          <w:color w:val="000000" w:themeColor="text1"/>
          <w:sz w:val="24"/>
          <w:szCs w:val="24"/>
        </w:rPr>
        <w:t>It was explained that the</w:t>
      </w:r>
      <w:r w:rsidR="00B41815" w:rsidRPr="00C92C86">
        <w:rPr>
          <w:rFonts w:ascii="Arial" w:hAnsi="Arial" w:cs="Arial"/>
          <w:bCs/>
          <w:color w:val="000000" w:themeColor="text1"/>
          <w:sz w:val="24"/>
          <w:szCs w:val="24"/>
        </w:rPr>
        <w:t xml:space="preserve"> guidance is designed to be used by service providers and has been written as part of the EHRC’s role as a regulator.   </w:t>
      </w:r>
    </w:p>
    <w:p w14:paraId="2B9275FA" w14:textId="77777777" w:rsidR="00B41815" w:rsidRPr="00C92C86" w:rsidRDefault="00B41815" w:rsidP="00C92C86">
      <w:pPr>
        <w:pStyle w:val="ListParagraph"/>
        <w:numPr>
          <w:ilvl w:val="0"/>
          <w:numId w:val="2"/>
        </w:numPr>
        <w:rPr>
          <w:rFonts w:ascii="Arial" w:hAnsi="Arial" w:cs="Arial"/>
          <w:bCs/>
          <w:color w:val="000000" w:themeColor="text1"/>
          <w:sz w:val="24"/>
          <w:szCs w:val="24"/>
        </w:rPr>
      </w:pPr>
      <w:r w:rsidRPr="00C92C86">
        <w:rPr>
          <w:rFonts w:ascii="Arial" w:hAnsi="Arial" w:cs="Arial"/>
          <w:b/>
          <w:bCs/>
          <w:color w:val="000000" w:themeColor="text1"/>
          <w:sz w:val="24"/>
          <w:szCs w:val="24"/>
        </w:rPr>
        <w:t xml:space="preserve">The Chair and </w:t>
      </w:r>
      <w:r w:rsidR="00B3510E" w:rsidRPr="00C92C86">
        <w:rPr>
          <w:rFonts w:ascii="Arial" w:hAnsi="Arial" w:cs="Arial"/>
          <w:b/>
          <w:bCs/>
          <w:color w:val="000000" w:themeColor="text1"/>
          <w:sz w:val="24"/>
          <w:szCs w:val="24"/>
        </w:rPr>
        <w:t xml:space="preserve">Wales </w:t>
      </w:r>
      <w:r w:rsidRPr="00C92C86">
        <w:rPr>
          <w:rFonts w:ascii="Arial" w:hAnsi="Arial" w:cs="Arial"/>
          <w:b/>
          <w:bCs/>
          <w:color w:val="000000" w:themeColor="text1"/>
          <w:sz w:val="24"/>
          <w:szCs w:val="24"/>
        </w:rPr>
        <w:t>Committee members c</w:t>
      </w:r>
      <w:r w:rsidR="003F4A7A" w:rsidRPr="00C92C86">
        <w:rPr>
          <w:rFonts w:ascii="Arial" w:hAnsi="Arial" w:cs="Arial"/>
          <w:b/>
          <w:bCs/>
          <w:color w:val="000000" w:themeColor="text1"/>
          <w:sz w:val="24"/>
          <w:szCs w:val="24"/>
        </w:rPr>
        <w:t>ommended the guidance for being clear, balanced and helpful</w:t>
      </w:r>
      <w:r w:rsidR="003F4A7A" w:rsidRPr="00C92C86">
        <w:rPr>
          <w:rFonts w:ascii="Arial" w:hAnsi="Arial" w:cs="Arial"/>
          <w:bCs/>
          <w:color w:val="000000" w:themeColor="text1"/>
          <w:sz w:val="24"/>
          <w:szCs w:val="24"/>
        </w:rPr>
        <w:t xml:space="preserve">, noting that </w:t>
      </w:r>
      <w:r w:rsidRPr="00C92C86">
        <w:rPr>
          <w:rFonts w:ascii="Arial" w:hAnsi="Arial" w:cs="Arial"/>
          <w:bCs/>
          <w:color w:val="000000" w:themeColor="text1"/>
          <w:sz w:val="24"/>
          <w:szCs w:val="24"/>
        </w:rPr>
        <w:t>it is difficult to please all</w:t>
      </w:r>
      <w:r w:rsidR="00174299" w:rsidRPr="00C92C86">
        <w:rPr>
          <w:rFonts w:ascii="Arial" w:hAnsi="Arial" w:cs="Arial"/>
          <w:bCs/>
          <w:color w:val="000000" w:themeColor="text1"/>
          <w:sz w:val="24"/>
          <w:szCs w:val="24"/>
        </w:rPr>
        <w:t xml:space="preserve"> audiences within this space</w:t>
      </w:r>
      <w:r w:rsidR="0011005B" w:rsidRPr="00C92C86">
        <w:rPr>
          <w:rFonts w:ascii="Arial" w:hAnsi="Arial" w:cs="Arial"/>
          <w:bCs/>
          <w:color w:val="000000" w:themeColor="text1"/>
          <w:sz w:val="24"/>
          <w:szCs w:val="24"/>
        </w:rPr>
        <w:t xml:space="preserve">. The Chair remarked </w:t>
      </w:r>
      <w:r w:rsidR="00174299" w:rsidRPr="00C92C86">
        <w:rPr>
          <w:rFonts w:ascii="Arial" w:hAnsi="Arial" w:cs="Arial"/>
          <w:bCs/>
          <w:color w:val="000000" w:themeColor="text1"/>
          <w:sz w:val="24"/>
          <w:szCs w:val="24"/>
        </w:rPr>
        <w:t xml:space="preserve">that </w:t>
      </w:r>
      <w:r w:rsidRPr="00C92C86">
        <w:rPr>
          <w:rFonts w:ascii="Arial" w:hAnsi="Arial" w:cs="Arial"/>
          <w:bCs/>
          <w:color w:val="000000" w:themeColor="text1"/>
          <w:sz w:val="24"/>
          <w:szCs w:val="24"/>
        </w:rPr>
        <w:t xml:space="preserve">the Board has dedicated a great deal of time to discussing this </w:t>
      </w:r>
      <w:r w:rsidR="00174299" w:rsidRPr="00C92C86">
        <w:rPr>
          <w:rFonts w:ascii="Arial" w:hAnsi="Arial" w:cs="Arial"/>
          <w:bCs/>
          <w:color w:val="000000" w:themeColor="text1"/>
          <w:sz w:val="24"/>
          <w:szCs w:val="24"/>
        </w:rPr>
        <w:t xml:space="preserve">sensitive </w:t>
      </w:r>
      <w:r w:rsidRPr="00C92C86">
        <w:rPr>
          <w:rFonts w:ascii="Arial" w:hAnsi="Arial" w:cs="Arial"/>
          <w:bCs/>
          <w:color w:val="000000" w:themeColor="text1"/>
          <w:sz w:val="24"/>
          <w:szCs w:val="24"/>
        </w:rPr>
        <w:t xml:space="preserve">topic. </w:t>
      </w:r>
    </w:p>
    <w:p w14:paraId="2CC4C838" w14:textId="77777777" w:rsidR="003F4A7A" w:rsidRPr="00C92C86" w:rsidRDefault="003F4A7A" w:rsidP="00C92C86">
      <w:pPr>
        <w:pStyle w:val="ListParagraph"/>
        <w:numPr>
          <w:ilvl w:val="0"/>
          <w:numId w:val="2"/>
        </w:numPr>
        <w:rPr>
          <w:rFonts w:ascii="Arial" w:hAnsi="Arial" w:cs="Arial"/>
          <w:bCs/>
          <w:color w:val="000000" w:themeColor="text1"/>
          <w:sz w:val="24"/>
          <w:szCs w:val="24"/>
        </w:rPr>
      </w:pPr>
      <w:r w:rsidRPr="00C92C86">
        <w:rPr>
          <w:rFonts w:ascii="Arial" w:hAnsi="Arial" w:cs="Arial"/>
          <w:bCs/>
          <w:color w:val="000000" w:themeColor="text1"/>
          <w:sz w:val="24"/>
          <w:szCs w:val="24"/>
        </w:rPr>
        <w:t>A Committee member offered four suggestions</w:t>
      </w:r>
      <w:r w:rsidR="001B20F8" w:rsidRPr="00C92C86">
        <w:rPr>
          <w:rFonts w:ascii="Arial" w:hAnsi="Arial" w:cs="Arial"/>
          <w:bCs/>
          <w:color w:val="000000" w:themeColor="text1"/>
          <w:sz w:val="24"/>
          <w:szCs w:val="24"/>
        </w:rPr>
        <w:t xml:space="preserve"> for the guidance, as follows</w:t>
      </w:r>
      <w:r w:rsidRPr="00C92C86">
        <w:rPr>
          <w:rFonts w:ascii="Arial" w:hAnsi="Arial" w:cs="Arial"/>
          <w:bCs/>
          <w:color w:val="000000" w:themeColor="text1"/>
          <w:sz w:val="24"/>
          <w:szCs w:val="24"/>
        </w:rPr>
        <w:t>:</w:t>
      </w:r>
    </w:p>
    <w:p w14:paraId="1441E25D" w14:textId="77777777" w:rsidR="003F4A7A" w:rsidRPr="00C92C86" w:rsidRDefault="003F4A7A" w:rsidP="00C92C86">
      <w:pPr>
        <w:pStyle w:val="ListParagraph"/>
        <w:ind w:left="1440"/>
        <w:rPr>
          <w:rFonts w:ascii="Arial" w:hAnsi="Arial" w:cs="Arial"/>
          <w:bCs/>
          <w:color w:val="000000" w:themeColor="text1"/>
          <w:sz w:val="24"/>
          <w:szCs w:val="24"/>
        </w:rPr>
      </w:pPr>
    </w:p>
    <w:p w14:paraId="3E95D158" w14:textId="77777777" w:rsidR="00174299" w:rsidRPr="00C92C86" w:rsidRDefault="003F4A7A" w:rsidP="00C92C86">
      <w:pPr>
        <w:pStyle w:val="ListParagraph"/>
        <w:ind w:left="1440"/>
        <w:rPr>
          <w:rFonts w:ascii="Arial" w:hAnsi="Arial" w:cs="Arial"/>
          <w:b/>
          <w:bCs/>
          <w:color w:val="000000" w:themeColor="text1"/>
          <w:sz w:val="24"/>
          <w:szCs w:val="24"/>
        </w:rPr>
      </w:pPr>
      <w:r w:rsidRPr="00C92C86">
        <w:rPr>
          <w:rFonts w:ascii="Arial" w:hAnsi="Arial" w:cs="Arial"/>
          <w:bCs/>
          <w:color w:val="000000" w:themeColor="text1"/>
          <w:sz w:val="24"/>
          <w:szCs w:val="24"/>
        </w:rPr>
        <w:t>1. The inclusion of a</w:t>
      </w:r>
      <w:r w:rsidR="001B20F8" w:rsidRPr="00C92C86">
        <w:rPr>
          <w:rFonts w:ascii="Arial" w:hAnsi="Arial" w:cs="Arial"/>
          <w:bCs/>
          <w:color w:val="000000" w:themeColor="text1"/>
          <w:sz w:val="24"/>
          <w:szCs w:val="24"/>
        </w:rPr>
        <w:t>n opening</w:t>
      </w:r>
      <w:r w:rsidRPr="00C92C86">
        <w:rPr>
          <w:rFonts w:ascii="Arial" w:hAnsi="Arial" w:cs="Arial"/>
          <w:bCs/>
          <w:color w:val="000000" w:themeColor="text1"/>
          <w:sz w:val="24"/>
          <w:szCs w:val="24"/>
        </w:rPr>
        <w:t xml:space="preserve"> statement stating that the guidance is consistent with the EHRC’s approach as a regulator and applies the law as it stands.</w:t>
      </w:r>
      <w:r w:rsidR="001B20F8" w:rsidRPr="00C92C86">
        <w:rPr>
          <w:rFonts w:ascii="Arial" w:hAnsi="Arial" w:cs="Arial"/>
          <w:bCs/>
          <w:color w:val="000000" w:themeColor="text1"/>
          <w:sz w:val="24"/>
          <w:szCs w:val="24"/>
        </w:rPr>
        <w:t xml:space="preserve"> </w:t>
      </w:r>
      <w:r w:rsidR="00081B18" w:rsidRPr="00C92C86">
        <w:rPr>
          <w:rFonts w:ascii="Arial" w:hAnsi="Arial" w:cs="Arial"/>
          <w:b/>
          <w:bCs/>
          <w:color w:val="000000" w:themeColor="text1"/>
          <w:sz w:val="24"/>
          <w:szCs w:val="24"/>
        </w:rPr>
        <w:t xml:space="preserve">Clarifying the </w:t>
      </w:r>
      <w:r w:rsidR="001B20F8" w:rsidRPr="00C92C86">
        <w:rPr>
          <w:rFonts w:ascii="Arial" w:hAnsi="Arial" w:cs="Arial"/>
          <w:b/>
          <w:bCs/>
          <w:color w:val="000000" w:themeColor="text1"/>
          <w:sz w:val="24"/>
          <w:szCs w:val="24"/>
        </w:rPr>
        <w:t xml:space="preserve">purpose of the guidance </w:t>
      </w:r>
      <w:r w:rsidRPr="00C92C86">
        <w:rPr>
          <w:rFonts w:ascii="Arial" w:hAnsi="Arial" w:cs="Arial"/>
          <w:b/>
          <w:bCs/>
          <w:color w:val="000000" w:themeColor="text1"/>
          <w:sz w:val="24"/>
          <w:szCs w:val="24"/>
        </w:rPr>
        <w:t>would be helpful in managing stakeholder expectations</w:t>
      </w:r>
      <w:r w:rsidR="001B20F8" w:rsidRPr="00C92C86">
        <w:rPr>
          <w:rFonts w:ascii="Arial" w:hAnsi="Arial" w:cs="Arial"/>
          <w:b/>
          <w:bCs/>
          <w:color w:val="000000" w:themeColor="text1"/>
          <w:sz w:val="24"/>
          <w:szCs w:val="24"/>
        </w:rPr>
        <w:t>.</w:t>
      </w:r>
    </w:p>
    <w:p w14:paraId="148CE25B" w14:textId="77777777" w:rsidR="003F4A7A" w:rsidRPr="00C92C86" w:rsidRDefault="003F4A7A" w:rsidP="00C92C86">
      <w:pPr>
        <w:pStyle w:val="ListParagraph"/>
        <w:ind w:left="1440"/>
        <w:rPr>
          <w:rFonts w:ascii="Arial" w:hAnsi="Arial" w:cs="Arial"/>
          <w:bCs/>
          <w:color w:val="000000" w:themeColor="text1"/>
          <w:sz w:val="24"/>
          <w:szCs w:val="24"/>
        </w:rPr>
      </w:pPr>
      <w:r w:rsidRPr="00C92C86">
        <w:rPr>
          <w:rFonts w:ascii="Arial" w:hAnsi="Arial" w:cs="Arial"/>
          <w:bCs/>
          <w:color w:val="000000" w:themeColor="text1"/>
          <w:sz w:val="24"/>
          <w:szCs w:val="24"/>
        </w:rPr>
        <w:t xml:space="preserve">2. The inclusion of links to summaries of relevant case law </w:t>
      </w:r>
      <w:r w:rsidR="001B20F8" w:rsidRPr="00C92C86">
        <w:rPr>
          <w:rFonts w:ascii="Arial" w:hAnsi="Arial" w:cs="Arial"/>
          <w:bCs/>
          <w:color w:val="000000" w:themeColor="text1"/>
          <w:sz w:val="24"/>
          <w:szCs w:val="24"/>
        </w:rPr>
        <w:t xml:space="preserve">which may be of use to </w:t>
      </w:r>
      <w:r w:rsidRPr="00C92C86">
        <w:rPr>
          <w:rFonts w:ascii="Arial" w:hAnsi="Arial" w:cs="Arial"/>
          <w:bCs/>
          <w:color w:val="000000" w:themeColor="text1"/>
          <w:sz w:val="24"/>
          <w:szCs w:val="24"/>
        </w:rPr>
        <w:t>service providers</w:t>
      </w:r>
      <w:r w:rsidR="001B20F8" w:rsidRPr="00C92C86">
        <w:rPr>
          <w:rFonts w:ascii="Arial" w:hAnsi="Arial" w:cs="Arial"/>
          <w:bCs/>
          <w:color w:val="000000" w:themeColor="text1"/>
          <w:sz w:val="24"/>
          <w:szCs w:val="24"/>
        </w:rPr>
        <w:t>.</w:t>
      </w:r>
    </w:p>
    <w:p w14:paraId="7BD4782C" w14:textId="77777777" w:rsidR="003F4A7A" w:rsidRPr="00C92C86" w:rsidRDefault="003F4A7A" w:rsidP="00C92C86">
      <w:pPr>
        <w:pStyle w:val="ListParagraph"/>
        <w:ind w:left="1440"/>
        <w:rPr>
          <w:rFonts w:ascii="Arial" w:hAnsi="Arial" w:cs="Arial"/>
          <w:bCs/>
          <w:color w:val="000000" w:themeColor="text1"/>
          <w:sz w:val="24"/>
          <w:szCs w:val="24"/>
        </w:rPr>
      </w:pPr>
      <w:r w:rsidRPr="00C92C86">
        <w:rPr>
          <w:rFonts w:ascii="Arial" w:hAnsi="Arial" w:cs="Arial"/>
          <w:bCs/>
          <w:color w:val="000000" w:themeColor="text1"/>
          <w:sz w:val="24"/>
          <w:szCs w:val="24"/>
        </w:rPr>
        <w:t xml:space="preserve">3. </w:t>
      </w:r>
      <w:r w:rsidR="001B20F8" w:rsidRPr="00C92C86">
        <w:rPr>
          <w:rFonts w:ascii="Arial" w:hAnsi="Arial" w:cs="Arial"/>
          <w:bCs/>
          <w:color w:val="000000" w:themeColor="text1"/>
          <w:sz w:val="24"/>
          <w:szCs w:val="24"/>
        </w:rPr>
        <w:t xml:space="preserve">With reference to point 3 on page 8, it can be difficult to apply policies flexibly. </w:t>
      </w:r>
      <w:r w:rsidR="001B20F8" w:rsidRPr="00C92C86">
        <w:rPr>
          <w:rFonts w:ascii="Arial" w:hAnsi="Arial" w:cs="Arial"/>
          <w:b/>
          <w:bCs/>
          <w:color w:val="000000" w:themeColor="text1"/>
          <w:sz w:val="24"/>
          <w:szCs w:val="24"/>
        </w:rPr>
        <w:t>The EHRC needs to recognise that it is difficult for service providers to develop consistent policy whilst also thinking about situations where they will depart from that policy.</w:t>
      </w:r>
      <w:r w:rsidR="001B20F8" w:rsidRPr="00C92C86">
        <w:rPr>
          <w:rFonts w:ascii="Arial" w:hAnsi="Arial" w:cs="Arial"/>
          <w:bCs/>
          <w:color w:val="000000" w:themeColor="text1"/>
          <w:sz w:val="24"/>
          <w:szCs w:val="24"/>
        </w:rPr>
        <w:t xml:space="preserve"> </w:t>
      </w:r>
    </w:p>
    <w:p w14:paraId="21133C41" w14:textId="77777777" w:rsidR="001B20F8" w:rsidRPr="00C92C86" w:rsidRDefault="001B20F8" w:rsidP="00C92C86">
      <w:pPr>
        <w:pStyle w:val="ListParagraph"/>
        <w:ind w:left="1440"/>
        <w:rPr>
          <w:rFonts w:ascii="Arial" w:hAnsi="Arial" w:cs="Arial"/>
          <w:bCs/>
          <w:color w:val="000000" w:themeColor="text1"/>
          <w:sz w:val="24"/>
          <w:szCs w:val="24"/>
        </w:rPr>
      </w:pPr>
      <w:r w:rsidRPr="00C92C86">
        <w:rPr>
          <w:rFonts w:ascii="Arial" w:hAnsi="Arial" w:cs="Arial"/>
          <w:bCs/>
          <w:color w:val="000000" w:themeColor="text1"/>
          <w:sz w:val="24"/>
          <w:szCs w:val="24"/>
        </w:rPr>
        <w:t xml:space="preserve">4. With reference to point 6 on page 9, would this be strengthened by the inclusion of reference to Equality Impact Assessments (EIAs)? </w:t>
      </w:r>
    </w:p>
    <w:p w14:paraId="79FB3E49" w14:textId="77777777" w:rsidR="00BE642A" w:rsidRPr="00C92C86" w:rsidRDefault="00BE642A" w:rsidP="00C92C86">
      <w:pPr>
        <w:pStyle w:val="ListParagraph"/>
        <w:ind w:left="1440"/>
        <w:rPr>
          <w:rFonts w:ascii="Arial" w:hAnsi="Arial" w:cs="Arial"/>
          <w:bCs/>
          <w:color w:val="000000" w:themeColor="text1"/>
          <w:sz w:val="24"/>
          <w:szCs w:val="24"/>
        </w:rPr>
      </w:pPr>
    </w:p>
    <w:p w14:paraId="36916AF6" w14:textId="77777777" w:rsidR="00BE642A" w:rsidRPr="00C92C86" w:rsidRDefault="00BE642A" w:rsidP="00C92C86">
      <w:pPr>
        <w:pStyle w:val="ListParagraph"/>
        <w:numPr>
          <w:ilvl w:val="0"/>
          <w:numId w:val="3"/>
        </w:numPr>
        <w:rPr>
          <w:rFonts w:ascii="Arial" w:hAnsi="Arial" w:cs="Arial"/>
          <w:bCs/>
          <w:color w:val="000000" w:themeColor="text1"/>
          <w:sz w:val="24"/>
          <w:szCs w:val="24"/>
        </w:rPr>
      </w:pPr>
      <w:r w:rsidRPr="00C92C86">
        <w:rPr>
          <w:rFonts w:ascii="Arial" w:hAnsi="Arial" w:cs="Arial"/>
          <w:bCs/>
          <w:color w:val="000000" w:themeColor="text1"/>
          <w:sz w:val="24"/>
          <w:szCs w:val="24"/>
        </w:rPr>
        <w:t>A</w:t>
      </w:r>
      <w:r w:rsidR="00470F20" w:rsidRPr="00C92C86">
        <w:rPr>
          <w:rFonts w:ascii="Arial" w:hAnsi="Arial" w:cs="Arial"/>
          <w:bCs/>
          <w:color w:val="000000" w:themeColor="text1"/>
          <w:sz w:val="24"/>
          <w:szCs w:val="24"/>
        </w:rPr>
        <w:t>nother</w:t>
      </w:r>
      <w:r w:rsidRPr="00C92C86">
        <w:rPr>
          <w:rFonts w:ascii="Arial" w:hAnsi="Arial" w:cs="Arial"/>
          <w:bCs/>
          <w:color w:val="000000" w:themeColor="text1"/>
          <w:sz w:val="24"/>
          <w:szCs w:val="24"/>
        </w:rPr>
        <w:t xml:space="preserve"> Committee member queried how the guidance differs from existing guidance. Jackie Killeen explained the nuances. </w:t>
      </w:r>
      <w:r w:rsidRPr="00C92C86">
        <w:rPr>
          <w:rFonts w:ascii="Arial" w:hAnsi="Arial" w:cs="Arial"/>
          <w:b/>
          <w:bCs/>
          <w:color w:val="000000" w:themeColor="text1"/>
          <w:sz w:val="24"/>
          <w:szCs w:val="24"/>
        </w:rPr>
        <w:t>It was agreed by all</w:t>
      </w:r>
      <w:r w:rsidR="00470F20" w:rsidRPr="00C92C86">
        <w:rPr>
          <w:rFonts w:ascii="Arial" w:hAnsi="Arial" w:cs="Arial"/>
          <w:b/>
          <w:bCs/>
          <w:color w:val="000000" w:themeColor="text1"/>
          <w:sz w:val="24"/>
          <w:szCs w:val="24"/>
        </w:rPr>
        <w:t xml:space="preserve"> present</w:t>
      </w:r>
      <w:r w:rsidRPr="00C92C86">
        <w:rPr>
          <w:rFonts w:ascii="Arial" w:hAnsi="Arial" w:cs="Arial"/>
          <w:b/>
          <w:bCs/>
          <w:color w:val="000000" w:themeColor="text1"/>
          <w:sz w:val="24"/>
          <w:szCs w:val="24"/>
        </w:rPr>
        <w:t xml:space="preserve"> that further discussion was needed regarding issuing a legal </w:t>
      </w:r>
      <w:r w:rsidR="00470F20" w:rsidRPr="00C92C86">
        <w:rPr>
          <w:rFonts w:ascii="Arial" w:hAnsi="Arial" w:cs="Arial"/>
          <w:b/>
          <w:bCs/>
          <w:color w:val="000000" w:themeColor="text1"/>
          <w:sz w:val="24"/>
          <w:szCs w:val="24"/>
        </w:rPr>
        <w:t>explainer</w:t>
      </w:r>
      <w:r w:rsidRPr="00C92C86">
        <w:rPr>
          <w:rFonts w:ascii="Arial" w:hAnsi="Arial" w:cs="Arial"/>
          <w:b/>
          <w:bCs/>
          <w:color w:val="000000" w:themeColor="text1"/>
          <w:sz w:val="24"/>
          <w:szCs w:val="24"/>
        </w:rPr>
        <w:t xml:space="preserve"> alongside the guidance</w:t>
      </w:r>
      <w:r w:rsidRPr="00C92C86">
        <w:rPr>
          <w:rFonts w:ascii="Arial" w:hAnsi="Arial" w:cs="Arial"/>
          <w:bCs/>
          <w:color w:val="000000" w:themeColor="text1"/>
          <w:sz w:val="24"/>
          <w:szCs w:val="24"/>
        </w:rPr>
        <w:t xml:space="preserve">, however this would need to be thought through very carefully. </w:t>
      </w:r>
    </w:p>
    <w:p w14:paraId="03C11D56" w14:textId="77777777" w:rsidR="00BE642A" w:rsidRPr="00C92C86" w:rsidRDefault="00BE642A" w:rsidP="00C92C86">
      <w:pPr>
        <w:pStyle w:val="ListParagraph"/>
        <w:numPr>
          <w:ilvl w:val="0"/>
          <w:numId w:val="3"/>
        </w:numPr>
        <w:rPr>
          <w:rFonts w:ascii="Arial" w:hAnsi="Arial" w:cs="Arial"/>
          <w:bCs/>
          <w:color w:val="000000" w:themeColor="text1"/>
          <w:sz w:val="24"/>
          <w:szCs w:val="24"/>
        </w:rPr>
      </w:pPr>
      <w:r w:rsidRPr="00C92C86">
        <w:rPr>
          <w:rFonts w:ascii="Arial" w:hAnsi="Arial" w:cs="Arial"/>
          <w:bCs/>
          <w:color w:val="000000" w:themeColor="text1"/>
          <w:sz w:val="24"/>
          <w:szCs w:val="24"/>
        </w:rPr>
        <w:t>Several Wales Committee members asked whether the guidance has been ‘</w:t>
      </w:r>
      <w:r w:rsidR="00027547" w:rsidRPr="00C92C86">
        <w:rPr>
          <w:rFonts w:ascii="Arial" w:hAnsi="Arial" w:cs="Arial"/>
          <w:bCs/>
          <w:color w:val="000000" w:themeColor="text1"/>
          <w:sz w:val="24"/>
          <w:szCs w:val="24"/>
        </w:rPr>
        <w:t>road-</w:t>
      </w:r>
      <w:r w:rsidRPr="00C92C86">
        <w:rPr>
          <w:rFonts w:ascii="Arial" w:hAnsi="Arial" w:cs="Arial"/>
          <w:bCs/>
          <w:color w:val="000000" w:themeColor="text1"/>
          <w:sz w:val="24"/>
          <w:szCs w:val="24"/>
        </w:rPr>
        <w:t xml:space="preserve">tested’ </w:t>
      </w:r>
      <w:r w:rsidR="002E1C97" w:rsidRPr="00C92C86">
        <w:rPr>
          <w:rFonts w:ascii="Arial" w:hAnsi="Arial" w:cs="Arial"/>
          <w:bCs/>
          <w:color w:val="000000" w:themeColor="text1"/>
          <w:sz w:val="24"/>
          <w:szCs w:val="24"/>
        </w:rPr>
        <w:t xml:space="preserve">with any organisations. Jackie Killeen and Melanie Field noted that some conversations had taken place with service providers and campaigning organisations, and that the EHRC has reiterated that the forthcoming guidance reflects what is written in the law. </w:t>
      </w:r>
      <w:r w:rsidR="002E1C97" w:rsidRPr="00C92C86">
        <w:rPr>
          <w:rFonts w:ascii="Arial" w:hAnsi="Arial" w:cs="Arial"/>
          <w:b/>
          <w:bCs/>
          <w:color w:val="000000" w:themeColor="text1"/>
          <w:sz w:val="24"/>
          <w:szCs w:val="24"/>
        </w:rPr>
        <w:t xml:space="preserve">The Wales Committee recommended that the guidance is sufficiently road-tested with stakeholders prior to publication, particularly within the </w:t>
      </w:r>
      <w:r w:rsidR="00D10E26" w:rsidRPr="00C92C86">
        <w:rPr>
          <w:rFonts w:ascii="Arial" w:hAnsi="Arial" w:cs="Arial"/>
          <w:b/>
          <w:bCs/>
          <w:color w:val="000000" w:themeColor="text1"/>
          <w:sz w:val="24"/>
          <w:szCs w:val="24"/>
        </w:rPr>
        <w:t>women’s support</w:t>
      </w:r>
      <w:r w:rsidR="002E1C97" w:rsidRPr="00C92C86">
        <w:rPr>
          <w:rFonts w:ascii="Arial" w:hAnsi="Arial" w:cs="Arial"/>
          <w:b/>
          <w:bCs/>
          <w:color w:val="000000" w:themeColor="text1"/>
          <w:sz w:val="24"/>
          <w:szCs w:val="24"/>
        </w:rPr>
        <w:t xml:space="preserve"> sector. </w:t>
      </w:r>
      <w:r w:rsidR="002E1C97" w:rsidRPr="00C92C86">
        <w:rPr>
          <w:rFonts w:ascii="Arial" w:hAnsi="Arial" w:cs="Arial"/>
          <w:bCs/>
          <w:color w:val="000000" w:themeColor="text1"/>
          <w:sz w:val="24"/>
          <w:szCs w:val="24"/>
        </w:rPr>
        <w:t xml:space="preserve">Understanding how the guidance may be received would avoid the creation of unnecessary problems for the Commission. </w:t>
      </w:r>
      <w:r w:rsidR="007E1072" w:rsidRPr="00C92C86">
        <w:rPr>
          <w:rFonts w:ascii="Arial" w:hAnsi="Arial" w:cs="Arial"/>
          <w:bCs/>
          <w:color w:val="000000" w:themeColor="text1"/>
          <w:sz w:val="24"/>
          <w:szCs w:val="24"/>
        </w:rPr>
        <w:t xml:space="preserve">Relatedly, </w:t>
      </w:r>
      <w:r w:rsidR="007E1072" w:rsidRPr="00C92C86">
        <w:rPr>
          <w:rFonts w:ascii="Arial" w:hAnsi="Arial" w:cs="Arial"/>
          <w:bCs/>
          <w:color w:val="000000" w:themeColor="text1"/>
          <w:sz w:val="24"/>
          <w:szCs w:val="24"/>
        </w:rPr>
        <w:lastRenderedPageBreak/>
        <w:t xml:space="preserve">the EHRC must consider whether the guidance will help women’s support services to make decisions without risking their funding. </w:t>
      </w:r>
    </w:p>
    <w:p w14:paraId="228F2809" w14:textId="77777777" w:rsidR="007E1072" w:rsidRPr="00C92C86" w:rsidRDefault="002E1C97" w:rsidP="00C92C86">
      <w:pPr>
        <w:pStyle w:val="ListParagraph"/>
        <w:numPr>
          <w:ilvl w:val="0"/>
          <w:numId w:val="3"/>
        </w:numPr>
        <w:rPr>
          <w:rFonts w:ascii="Arial" w:hAnsi="Arial" w:cs="Arial"/>
          <w:bCs/>
          <w:color w:val="000000" w:themeColor="text1"/>
          <w:sz w:val="24"/>
          <w:szCs w:val="24"/>
        </w:rPr>
      </w:pPr>
      <w:r w:rsidRPr="00C92C86">
        <w:rPr>
          <w:rFonts w:ascii="Arial" w:hAnsi="Arial" w:cs="Arial"/>
          <w:b/>
          <w:bCs/>
          <w:color w:val="000000" w:themeColor="text1"/>
          <w:sz w:val="24"/>
          <w:szCs w:val="24"/>
        </w:rPr>
        <w:t xml:space="preserve">The Wales Committee </w:t>
      </w:r>
      <w:r w:rsidR="007E1072" w:rsidRPr="00C92C86">
        <w:rPr>
          <w:rFonts w:ascii="Arial" w:hAnsi="Arial" w:cs="Arial"/>
          <w:b/>
          <w:bCs/>
          <w:color w:val="000000" w:themeColor="text1"/>
          <w:sz w:val="24"/>
          <w:szCs w:val="24"/>
        </w:rPr>
        <w:t>further recommended the inclusion of a range of scenarios and examples to explain the guidance and to state where legal descriptions or guidance will come from elsewhere</w:t>
      </w:r>
      <w:r w:rsidR="007E1072" w:rsidRPr="00C92C86">
        <w:rPr>
          <w:rFonts w:ascii="Arial" w:hAnsi="Arial" w:cs="Arial"/>
          <w:bCs/>
          <w:color w:val="000000" w:themeColor="text1"/>
          <w:sz w:val="24"/>
          <w:szCs w:val="24"/>
        </w:rPr>
        <w:t>, such as</w:t>
      </w:r>
      <w:r w:rsidR="00D10E26" w:rsidRPr="00C92C86">
        <w:rPr>
          <w:rFonts w:ascii="Arial" w:hAnsi="Arial" w:cs="Arial"/>
          <w:bCs/>
          <w:color w:val="000000" w:themeColor="text1"/>
          <w:sz w:val="24"/>
          <w:szCs w:val="24"/>
        </w:rPr>
        <w:t xml:space="preserve"> in relation to schools or the provision and use of toilets. </w:t>
      </w:r>
    </w:p>
    <w:p w14:paraId="68FFB929" w14:textId="77777777" w:rsidR="007E1072" w:rsidRPr="00C92C86" w:rsidRDefault="000C15E4" w:rsidP="00C92C86">
      <w:pPr>
        <w:pStyle w:val="ListParagraph"/>
        <w:numPr>
          <w:ilvl w:val="0"/>
          <w:numId w:val="3"/>
        </w:numPr>
        <w:rPr>
          <w:rFonts w:ascii="Arial" w:hAnsi="Arial" w:cs="Arial"/>
          <w:sz w:val="24"/>
          <w:szCs w:val="24"/>
        </w:rPr>
      </w:pPr>
      <w:r w:rsidRPr="00C92C86">
        <w:rPr>
          <w:rFonts w:ascii="Arial" w:hAnsi="Arial" w:cs="Arial"/>
          <w:b/>
          <w:sz w:val="24"/>
          <w:szCs w:val="24"/>
        </w:rPr>
        <w:t xml:space="preserve">Service providers may also benefit from guidance on </w:t>
      </w:r>
      <w:r w:rsidRPr="00C92C86">
        <w:rPr>
          <w:rFonts w:ascii="Arial" w:hAnsi="Arial" w:cs="Arial"/>
          <w:b/>
          <w:i/>
          <w:sz w:val="24"/>
          <w:szCs w:val="24"/>
        </w:rPr>
        <w:t>how</w:t>
      </w:r>
      <w:r w:rsidRPr="00C92C86">
        <w:rPr>
          <w:rFonts w:ascii="Arial" w:hAnsi="Arial" w:cs="Arial"/>
          <w:b/>
          <w:sz w:val="24"/>
          <w:szCs w:val="24"/>
        </w:rPr>
        <w:t xml:space="preserve"> to assess situations and apply policies flexibly </w:t>
      </w:r>
      <w:r w:rsidRPr="00C92C86">
        <w:rPr>
          <w:rFonts w:ascii="Arial" w:hAnsi="Arial" w:cs="Arial"/>
          <w:sz w:val="24"/>
          <w:szCs w:val="24"/>
        </w:rPr>
        <w:t>– see for example point 3 on page 8.</w:t>
      </w:r>
      <w:r w:rsidRPr="00C92C86">
        <w:rPr>
          <w:rFonts w:ascii="Arial" w:hAnsi="Arial" w:cs="Arial"/>
          <w:b/>
          <w:sz w:val="24"/>
          <w:szCs w:val="24"/>
        </w:rPr>
        <w:t xml:space="preserve"> </w:t>
      </w:r>
      <w:r w:rsidRPr="00C92C86">
        <w:rPr>
          <w:rFonts w:ascii="Arial" w:hAnsi="Arial" w:cs="Arial"/>
          <w:sz w:val="24"/>
          <w:szCs w:val="24"/>
        </w:rPr>
        <w:t xml:space="preserve">This was reiterated </w:t>
      </w:r>
      <w:r w:rsidR="005D115C" w:rsidRPr="00C92C86">
        <w:rPr>
          <w:rFonts w:ascii="Arial" w:hAnsi="Arial" w:cs="Arial"/>
          <w:sz w:val="24"/>
          <w:szCs w:val="24"/>
        </w:rPr>
        <w:t xml:space="preserve">on numerous occasions </w:t>
      </w:r>
      <w:r w:rsidRPr="00C92C86">
        <w:rPr>
          <w:rFonts w:ascii="Arial" w:hAnsi="Arial" w:cs="Arial"/>
          <w:sz w:val="24"/>
          <w:szCs w:val="24"/>
        </w:rPr>
        <w:t xml:space="preserve">by </w:t>
      </w:r>
      <w:r w:rsidR="00943F90" w:rsidRPr="00C92C86">
        <w:rPr>
          <w:rFonts w:ascii="Arial" w:hAnsi="Arial" w:cs="Arial"/>
          <w:sz w:val="24"/>
          <w:szCs w:val="24"/>
        </w:rPr>
        <w:t xml:space="preserve">the Committee. </w:t>
      </w:r>
      <w:r w:rsidRPr="00C92C86">
        <w:rPr>
          <w:rFonts w:ascii="Arial" w:hAnsi="Arial" w:cs="Arial"/>
          <w:sz w:val="24"/>
          <w:szCs w:val="24"/>
        </w:rPr>
        <w:t xml:space="preserve"> </w:t>
      </w:r>
    </w:p>
    <w:p w14:paraId="356F3635" w14:textId="77777777" w:rsidR="000C15E4" w:rsidRPr="00C92C86" w:rsidRDefault="000C15E4" w:rsidP="00C92C86">
      <w:pPr>
        <w:pStyle w:val="ListParagraph"/>
        <w:numPr>
          <w:ilvl w:val="0"/>
          <w:numId w:val="3"/>
        </w:numPr>
        <w:rPr>
          <w:rFonts w:ascii="Arial" w:hAnsi="Arial" w:cs="Arial"/>
          <w:sz w:val="24"/>
          <w:szCs w:val="24"/>
        </w:rPr>
      </w:pPr>
      <w:r w:rsidRPr="00C92C86">
        <w:rPr>
          <w:rFonts w:ascii="Arial" w:hAnsi="Arial" w:cs="Arial"/>
          <w:sz w:val="24"/>
          <w:szCs w:val="24"/>
        </w:rPr>
        <w:t>In terms of terminology and language, a Committee member suggested the phrase ‘treating people according to need’ as opposed to ‘treating people differently’.</w:t>
      </w:r>
      <w:r w:rsidRPr="00C92C86">
        <w:rPr>
          <w:rFonts w:ascii="Arial" w:hAnsi="Arial" w:cs="Arial"/>
          <w:b/>
          <w:sz w:val="24"/>
          <w:szCs w:val="24"/>
        </w:rPr>
        <w:t xml:space="preserve"> The need for a glossary of terms or explainer was endorsed to eliminate the potential for confusion or conflation of the terms biological sex, gender, and gender identity. </w:t>
      </w:r>
    </w:p>
    <w:p w14:paraId="067F60B4" w14:textId="77777777" w:rsidR="000C15E4" w:rsidRPr="00C92C86" w:rsidRDefault="00B85B1E" w:rsidP="00C92C86">
      <w:pPr>
        <w:pStyle w:val="ListParagraph"/>
        <w:numPr>
          <w:ilvl w:val="0"/>
          <w:numId w:val="3"/>
        </w:numPr>
        <w:rPr>
          <w:rFonts w:ascii="Arial" w:hAnsi="Arial" w:cs="Arial"/>
          <w:sz w:val="24"/>
          <w:szCs w:val="24"/>
        </w:rPr>
      </w:pPr>
      <w:r w:rsidRPr="00C92C86">
        <w:rPr>
          <w:rFonts w:ascii="Arial" w:hAnsi="Arial" w:cs="Arial"/>
          <w:b/>
          <w:sz w:val="24"/>
          <w:szCs w:val="24"/>
        </w:rPr>
        <w:t>Several other specific queries were raised in relation to</w:t>
      </w:r>
      <w:r w:rsidR="00943F90" w:rsidRPr="00C92C86">
        <w:rPr>
          <w:rFonts w:ascii="Arial" w:hAnsi="Arial" w:cs="Arial"/>
          <w:b/>
          <w:sz w:val="24"/>
          <w:szCs w:val="24"/>
        </w:rPr>
        <w:t xml:space="preserve"> the</w:t>
      </w:r>
      <w:r w:rsidRPr="00C92C86">
        <w:rPr>
          <w:rFonts w:ascii="Arial" w:hAnsi="Arial" w:cs="Arial"/>
          <w:b/>
          <w:sz w:val="24"/>
          <w:szCs w:val="24"/>
        </w:rPr>
        <w:t xml:space="preserve"> language used in the guidance,</w:t>
      </w:r>
      <w:r w:rsidRPr="00C92C86">
        <w:rPr>
          <w:rFonts w:ascii="Arial" w:hAnsi="Arial" w:cs="Arial"/>
          <w:sz w:val="24"/>
          <w:szCs w:val="24"/>
        </w:rPr>
        <w:t xml:space="preserve"> as follows: </w:t>
      </w:r>
    </w:p>
    <w:p w14:paraId="5FAD9DE0" w14:textId="77777777" w:rsidR="00B74CDF" w:rsidRPr="00C92C86" w:rsidRDefault="00B74CDF" w:rsidP="00C92C86">
      <w:pPr>
        <w:pStyle w:val="ListParagraph"/>
        <w:rPr>
          <w:rFonts w:ascii="Arial" w:hAnsi="Arial" w:cs="Arial"/>
          <w:sz w:val="24"/>
          <w:szCs w:val="24"/>
        </w:rPr>
      </w:pPr>
    </w:p>
    <w:p w14:paraId="228E74F7" w14:textId="77777777" w:rsidR="00B85B1E" w:rsidRPr="00C92C86" w:rsidRDefault="00B85B1E" w:rsidP="00C92C86">
      <w:pPr>
        <w:pStyle w:val="ListParagraph"/>
        <w:ind w:left="1440"/>
        <w:rPr>
          <w:rFonts w:ascii="Arial" w:hAnsi="Arial" w:cs="Arial"/>
          <w:sz w:val="24"/>
          <w:szCs w:val="24"/>
        </w:rPr>
      </w:pPr>
      <w:r w:rsidRPr="00C92C86">
        <w:rPr>
          <w:rFonts w:ascii="Arial" w:hAnsi="Arial" w:cs="Arial"/>
          <w:sz w:val="24"/>
          <w:szCs w:val="24"/>
        </w:rPr>
        <w:t xml:space="preserve">1. </w:t>
      </w:r>
      <w:r w:rsidR="00031021" w:rsidRPr="00C92C86">
        <w:rPr>
          <w:rFonts w:ascii="Arial" w:hAnsi="Arial" w:cs="Arial"/>
          <w:sz w:val="24"/>
          <w:szCs w:val="24"/>
        </w:rPr>
        <w:t xml:space="preserve">Point 3 on page 6 - </w:t>
      </w:r>
      <w:r w:rsidRPr="00C92C86">
        <w:rPr>
          <w:rFonts w:ascii="Arial" w:hAnsi="Arial" w:cs="Arial"/>
          <w:sz w:val="24"/>
          <w:szCs w:val="24"/>
        </w:rPr>
        <w:t xml:space="preserve">the document is highly focused on the protection of women’s spaces however this needs to be balanced. Some stakeholders in Wales have </w:t>
      </w:r>
      <w:r w:rsidR="00031021" w:rsidRPr="00C92C86">
        <w:rPr>
          <w:rFonts w:ascii="Arial" w:hAnsi="Arial" w:cs="Arial"/>
          <w:sz w:val="24"/>
          <w:szCs w:val="24"/>
        </w:rPr>
        <w:t xml:space="preserve">been very vocal about the need to balance men’s and women’s rights. </w:t>
      </w:r>
    </w:p>
    <w:p w14:paraId="4E29F25C" w14:textId="77777777" w:rsidR="00D16A84" w:rsidRPr="00C92C86" w:rsidRDefault="00031021" w:rsidP="00C92C86">
      <w:pPr>
        <w:pStyle w:val="ListParagraph"/>
        <w:ind w:left="1440"/>
        <w:rPr>
          <w:rFonts w:ascii="Arial" w:hAnsi="Arial" w:cs="Arial"/>
          <w:sz w:val="24"/>
          <w:szCs w:val="24"/>
        </w:rPr>
      </w:pPr>
      <w:r w:rsidRPr="00C92C86">
        <w:rPr>
          <w:rFonts w:ascii="Arial" w:hAnsi="Arial" w:cs="Arial"/>
          <w:sz w:val="24"/>
          <w:szCs w:val="24"/>
        </w:rPr>
        <w:t xml:space="preserve">2. Point 5 on page 7 - if the parentheses </w:t>
      </w:r>
      <w:r w:rsidR="00D16A84" w:rsidRPr="00C92C86">
        <w:rPr>
          <w:rFonts w:ascii="Arial" w:hAnsi="Arial" w:cs="Arial"/>
          <w:sz w:val="24"/>
          <w:szCs w:val="24"/>
        </w:rPr>
        <w:t xml:space="preserve">around ‘or vice versa’ </w:t>
      </w:r>
      <w:r w:rsidRPr="00C92C86">
        <w:rPr>
          <w:rFonts w:ascii="Arial" w:hAnsi="Arial" w:cs="Arial"/>
          <w:sz w:val="24"/>
          <w:szCs w:val="24"/>
        </w:rPr>
        <w:t>are removed</w:t>
      </w:r>
      <w:r w:rsidR="00D16A84" w:rsidRPr="00C92C86">
        <w:rPr>
          <w:rFonts w:ascii="Arial" w:hAnsi="Arial" w:cs="Arial"/>
          <w:sz w:val="24"/>
          <w:szCs w:val="24"/>
        </w:rPr>
        <w:t xml:space="preserve"> this should create a more balanced feel.</w:t>
      </w:r>
    </w:p>
    <w:p w14:paraId="3A4389F7" w14:textId="77777777" w:rsidR="00D16A84" w:rsidRPr="00C92C86" w:rsidRDefault="00D16A84" w:rsidP="00C92C86">
      <w:pPr>
        <w:pStyle w:val="ListParagraph"/>
        <w:ind w:left="1440"/>
        <w:rPr>
          <w:rFonts w:ascii="Arial" w:hAnsi="Arial" w:cs="Arial"/>
          <w:sz w:val="24"/>
          <w:szCs w:val="24"/>
        </w:rPr>
      </w:pPr>
      <w:r w:rsidRPr="00C92C86">
        <w:rPr>
          <w:rFonts w:ascii="Arial" w:hAnsi="Arial" w:cs="Arial"/>
          <w:sz w:val="24"/>
          <w:szCs w:val="24"/>
        </w:rPr>
        <w:t xml:space="preserve">3. </w:t>
      </w:r>
      <w:r w:rsidR="00031021" w:rsidRPr="00C92C86">
        <w:rPr>
          <w:rFonts w:ascii="Arial" w:hAnsi="Arial" w:cs="Arial"/>
          <w:sz w:val="24"/>
          <w:szCs w:val="24"/>
        </w:rPr>
        <w:t xml:space="preserve"> </w:t>
      </w:r>
      <w:r w:rsidRPr="00C92C86">
        <w:rPr>
          <w:rFonts w:ascii="Arial" w:hAnsi="Arial" w:cs="Arial"/>
          <w:sz w:val="24"/>
          <w:szCs w:val="24"/>
        </w:rPr>
        <w:t>Regarding the example on pp.7-8, would it be helpful to clarify whether this is looking at individuals rather than a blanket situation? For example, what would the implications be if the same decision was made repeatedly and appeared to be inflexible?</w:t>
      </w:r>
    </w:p>
    <w:p w14:paraId="4C109AB4" w14:textId="77777777" w:rsidR="000C15E4" w:rsidRPr="00C92C86" w:rsidRDefault="00D16A84" w:rsidP="00C92C86">
      <w:pPr>
        <w:pStyle w:val="ListParagraph"/>
        <w:ind w:left="1440"/>
        <w:rPr>
          <w:rFonts w:ascii="Arial" w:hAnsi="Arial" w:cs="Arial"/>
          <w:sz w:val="24"/>
          <w:szCs w:val="24"/>
        </w:rPr>
      </w:pPr>
      <w:r w:rsidRPr="00C92C86">
        <w:rPr>
          <w:rFonts w:ascii="Arial" w:hAnsi="Arial" w:cs="Arial"/>
          <w:sz w:val="24"/>
          <w:szCs w:val="24"/>
        </w:rPr>
        <w:t>4. Point 2 on page 8 – the example makes reference to gender recognition certificates (without capitalisation) which might be incongruent with the text on page 10 about not needing ‘Gender Recognition Certificates’.</w:t>
      </w:r>
    </w:p>
    <w:p w14:paraId="340BBA4B" w14:textId="77777777" w:rsidR="00B74CDF" w:rsidRPr="00C92C86" w:rsidRDefault="00B74CDF" w:rsidP="00C92C86">
      <w:pPr>
        <w:pStyle w:val="ListParagraph"/>
        <w:ind w:left="1440"/>
        <w:rPr>
          <w:rFonts w:ascii="Arial" w:hAnsi="Arial" w:cs="Arial"/>
          <w:sz w:val="24"/>
          <w:szCs w:val="24"/>
        </w:rPr>
      </w:pPr>
    </w:p>
    <w:p w14:paraId="40F68CFD" w14:textId="77777777" w:rsidR="00576015" w:rsidRPr="00C92C86" w:rsidRDefault="0036238F" w:rsidP="00C92C86">
      <w:pPr>
        <w:pStyle w:val="ListParagraph"/>
        <w:numPr>
          <w:ilvl w:val="0"/>
          <w:numId w:val="4"/>
        </w:numPr>
        <w:rPr>
          <w:rFonts w:ascii="Arial" w:hAnsi="Arial" w:cs="Arial"/>
          <w:sz w:val="24"/>
          <w:szCs w:val="24"/>
        </w:rPr>
      </w:pPr>
      <w:r w:rsidRPr="00C92C86">
        <w:rPr>
          <w:rFonts w:ascii="Arial" w:hAnsi="Arial" w:cs="Arial"/>
          <w:sz w:val="24"/>
          <w:szCs w:val="24"/>
        </w:rPr>
        <w:t xml:space="preserve">To end, Jackie Killeen thanked the Committee for their comments. The Chair provided a recap of the key points raised and thanked all for their time and input. </w:t>
      </w:r>
      <w:r w:rsidR="001C77E5" w:rsidRPr="00C92C86">
        <w:rPr>
          <w:rFonts w:ascii="Arial" w:hAnsi="Arial" w:cs="Arial"/>
          <w:sz w:val="24"/>
          <w:szCs w:val="24"/>
        </w:rPr>
        <w:t xml:space="preserve"> </w:t>
      </w:r>
    </w:p>
    <w:p w14:paraId="4D8B9329" w14:textId="77777777" w:rsidR="009A6D58" w:rsidRPr="00C92C86" w:rsidRDefault="00576015" w:rsidP="00C92C86">
      <w:pPr>
        <w:pStyle w:val="ListParagraph"/>
        <w:numPr>
          <w:ilvl w:val="0"/>
          <w:numId w:val="4"/>
        </w:numPr>
        <w:rPr>
          <w:rFonts w:ascii="Arial" w:hAnsi="Arial" w:cs="Arial"/>
          <w:sz w:val="24"/>
          <w:szCs w:val="24"/>
        </w:rPr>
      </w:pPr>
      <w:r w:rsidRPr="00C92C86">
        <w:rPr>
          <w:rFonts w:ascii="Arial" w:hAnsi="Arial" w:cs="Arial"/>
          <w:sz w:val="24"/>
          <w:szCs w:val="24"/>
        </w:rPr>
        <w:t xml:space="preserve">A member of the Wales Committee </w:t>
      </w:r>
      <w:r w:rsidR="00584DB9" w:rsidRPr="00C92C86">
        <w:rPr>
          <w:rFonts w:ascii="Arial" w:hAnsi="Arial" w:cs="Arial"/>
          <w:sz w:val="24"/>
          <w:szCs w:val="24"/>
        </w:rPr>
        <w:t xml:space="preserve">that was unable to attend the meeting </w:t>
      </w:r>
      <w:r w:rsidRPr="00C92C86">
        <w:rPr>
          <w:rFonts w:ascii="Arial" w:hAnsi="Arial" w:cs="Arial"/>
          <w:sz w:val="24"/>
          <w:szCs w:val="24"/>
        </w:rPr>
        <w:t>provided comments via correspondence</w:t>
      </w:r>
      <w:r w:rsidR="00584DB9" w:rsidRPr="00C92C86">
        <w:rPr>
          <w:rFonts w:ascii="Arial" w:hAnsi="Arial" w:cs="Arial"/>
          <w:sz w:val="24"/>
          <w:szCs w:val="24"/>
        </w:rPr>
        <w:t>, a copy of which has</w:t>
      </w:r>
      <w:r w:rsidR="009A6D58" w:rsidRPr="00C92C86">
        <w:rPr>
          <w:rFonts w:ascii="Arial" w:hAnsi="Arial" w:cs="Arial"/>
          <w:sz w:val="24"/>
          <w:szCs w:val="24"/>
        </w:rPr>
        <w:t xml:space="preserve"> been included in full in Appendix A below</w:t>
      </w:r>
      <w:r w:rsidRPr="00C92C86">
        <w:rPr>
          <w:rFonts w:ascii="Arial" w:hAnsi="Arial" w:cs="Arial"/>
          <w:sz w:val="24"/>
          <w:szCs w:val="24"/>
        </w:rPr>
        <w:t>.</w:t>
      </w:r>
      <w:r w:rsidR="009A6D58" w:rsidRPr="00C92C86">
        <w:rPr>
          <w:rFonts w:ascii="Arial" w:hAnsi="Arial" w:cs="Arial"/>
          <w:sz w:val="24"/>
          <w:szCs w:val="24"/>
        </w:rPr>
        <w:t xml:space="preserve"> To summarise this feedback, it was noted that the paper assumes a baseline level of knowledge about the terminology and issues discussed in the guidance - something that not all organisations possess. The guidance would therefore be strengthened by recommendations for </w:t>
      </w:r>
      <w:r w:rsidR="00422E4A" w:rsidRPr="00C92C86">
        <w:rPr>
          <w:rFonts w:ascii="Arial" w:hAnsi="Arial" w:cs="Arial"/>
          <w:sz w:val="24"/>
          <w:szCs w:val="24"/>
        </w:rPr>
        <w:t xml:space="preserve">staff </w:t>
      </w:r>
      <w:r w:rsidR="009A6D58" w:rsidRPr="00C92C86">
        <w:rPr>
          <w:rFonts w:ascii="Arial" w:hAnsi="Arial" w:cs="Arial"/>
          <w:sz w:val="24"/>
          <w:szCs w:val="24"/>
        </w:rPr>
        <w:t xml:space="preserve">training and signposting to the EHRC for further </w:t>
      </w:r>
      <w:r w:rsidR="00584DB9" w:rsidRPr="00C92C86">
        <w:rPr>
          <w:rFonts w:ascii="Arial" w:hAnsi="Arial" w:cs="Arial"/>
          <w:sz w:val="24"/>
          <w:szCs w:val="24"/>
        </w:rPr>
        <w:t>advice</w:t>
      </w:r>
      <w:r w:rsidR="009A6D58" w:rsidRPr="00C92C86">
        <w:rPr>
          <w:rFonts w:ascii="Arial" w:hAnsi="Arial" w:cs="Arial"/>
          <w:sz w:val="24"/>
          <w:szCs w:val="24"/>
        </w:rPr>
        <w:t xml:space="preserve">. </w:t>
      </w:r>
    </w:p>
    <w:p w14:paraId="7E997025" w14:textId="77777777" w:rsidR="001C77E5" w:rsidRPr="00C92C86" w:rsidRDefault="001C77E5" w:rsidP="00C92C86">
      <w:pPr>
        <w:rPr>
          <w:rFonts w:ascii="Arial" w:hAnsi="Arial" w:cs="Arial"/>
        </w:rPr>
      </w:pPr>
    </w:p>
    <w:p w14:paraId="543A56D3" w14:textId="77777777" w:rsidR="00C92C86" w:rsidRDefault="00C92C86" w:rsidP="00C92C86">
      <w:pPr>
        <w:spacing w:after="160" w:line="259" w:lineRule="auto"/>
        <w:rPr>
          <w:rFonts w:ascii="Arial" w:eastAsiaTheme="majorEastAsia" w:hAnsi="Arial" w:cs="Arial"/>
          <w:b/>
          <w:bCs/>
          <w:sz w:val="24"/>
          <w:szCs w:val="24"/>
        </w:rPr>
      </w:pPr>
      <w:r>
        <w:rPr>
          <w:rFonts w:ascii="Arial" w:hAnsi="Arial" w:cs="Arial"/>
          <w:b/>
          <w:bCs/>
          <w:sz w:val="24"/>
          <w:szCs w:val="24"/>
        </w:rPr>
        <w:br w:type="page"/>
      </w:r>
    </w:p>
    <w:p w14:paraId="6FE0B85C" w14:textId="34AC620D" w:rsidR="00847864" w:rsidRPr="00C92C86" w:rsidRDefault="009A6D58" w:rsidP="00C92C86">
      <w:pPr>
        <w:pStyle w:val="Heading1"/>
        <w:rPr>
          <w:rFonts w:ascii="Arial" w:hAnsi="Arial" w:cs="Arial"/>
          <w:b/>
          <w:bCs/>
          <w:color w:val="auto"/>
          <w:sz w:val="24"/>
          <w:szCs w:val="24"/>
        </w:rPr>
      </w:pPr>
      <w:bookmarkStart w:id="2" w:name="_Toc144823397"/>
      <w:r w:rsidRPr="00C92C86">
        <w:rPr>
          <w:rFonts w:ascii="Arial" w:hAnsi="Arial" w:cs="Arial"/>
          <w:b/>
          <w:bCs/>
          <w:color w:val="auto"/>
          <w:sz w:val="24"/>
          <w:szCs w:val="24"/>
        </w:rPr>
        <w:lastRenderedPageBreak/>
        <w:t xml:space="preserve">Appendix A: </w:t>
      </w:r>
      <w:r w:rsidR="00847864" w:rsidRPr="00C92C86">
        <w:rPr>
          <w:rFonts w:ascii="Arial" w:hAnsi="Arial" w:cs="Arial"/>
          <w:b/>
          <w:bCs/>
          <w:color w:val="auto"/>
          <w:sz w:val="24"/>
          <w:szCs w:val="24"/>
        </w:rPr>
        <w:t>Comme</w:t>
      </w:r>
      <w:r w:rsidR="00584DB9" w:rsidRPr="00C92C86">
        <w:rPr>
          <w:rFonts w:ascii="Arial" w:hAnsi="Arial" w:cs="Arial"/>
          <w:b/>
          <w:bCs/>
          <w:color w:val="auto"/>
          <w:sz w:val="24"/>
          <w:szCs w:val="24"/>
        </w:rPr>
        <w:t>nts from Wales Committee member</w:t>
      </w:r>
      <w:r w:rsidR="00847864" w:rsidRPr="00C92C86">
        <w:rPr>
          <w:rFonts w:ascii="Arial" w:hAnsi="Arial" w:cs="Arial"/>
          <w:b/>
          <w:bCs/>
          <w:color w:val="auto"/>
          <w:sz w:val="24"/>
          <w:szCs w:val="24"/>
        </w:rPr>
        <w:t xml:space="preserve"> received via </w:t>
      </w:r>
      <w:proofErr w:type="gramStart"/>
      <w:r w:rsidR="00847864" w:rsidRPr="00C92C86">
        <w:rPr>
          <w:rFonts w:ascii="Arial" w:hAnsi="Arial" w:cs="Arial"/>
          <w:b/>
          <w:bCs/>
          <w:color w:val="auto"/>
          <w:sz w:val="24"/>
          <w:szCs w:val="24"/>
        </w:rPr>
        <w:t>correspondence</w:t>
      </w:r>
      <w:bookmarkEnd w:id="2"/>
      <w:proofErr w:type="gramEnd"/>
      <w:r w:rsidR="00847864" w:rsidRPr="00C92C86">
        <w:rPr>
          <w:rFonts w:ascii="Arial" w:hAnsi="Arial" w:cs="Arial"/>
          <w:b/>
          <w:bCs/>
          <w:color w:val="auto"/>
          <w:sz w:val="24"/>
          <w:szCs w:val="24"/>
        </w:rPr>
        <w:t xml:space="preserve"> </w:t>
      </w:r>
    </w:p>
    <w:p w14:paraId="1B0D8454" w14:textId="77777777" w:rsidR="001C77E5" w:rsidRPr="00C92C86" w:rsidRDefault="001C77E5" w:rsidP="00C92C86">
      <w:pPr>
        <w:rPr>
          <w:rFonts w:ascii="Arial" w:hAnsi="Arial" w:cs="Arial"/>
          <w:sz w:val="24"/>
          <w:szCs w:val="24"/>
        </w:rPr>
      </w:pPr>
    </w:p>
    <w:p w14:paraId="709A5B5C" w14:textId="77777777" w:rsidR="00847864" w:rsidRPr="00C92C86" w:rsidRDefault="00847864" w:rsidP="00C92C86">
      <w:pPr>
        <w:pStyle w:val="ListParagraph"/>
        <w:numPr>
          <w:ilvl w:val="0"/>
          <w:numId w:val="4"/>
        </w:numPr>
        <w:rPr>
          <w:rFonts w:ascii="Arial" w:hAnsi="Arial" w:cs="Arial"/>
          <w:sz w:val="24"/>
          <w:szCs w:val="24"/>
        </w:rPr>
      </w:pPr>
      <w:r w:rsidRPr="00C92C86">
        <w:rPr>
          <w:rFonts w:ascii="Arial" w:hAnsi="Arial" w:cs="Arial"/>
          <w:sz w:val="24"/>
          <w:szCs w:val="24"/>
        </w:rPr>
        <w:t>I note the update on the progress so far and feel it is positive to see how this process has also led to further opportunities to review, update and amend the Code of Practice on Services.</w:t>
      </w:r>
    </w:p>
    <w:p w14:paraId="6CAFD83F" w14:textId="77777777" w:rsidR="00847864" w:rsidRPr="00C92C86" w:rsidRDefault="00847864" w:rsidP="00C92C86">
      <w:pPr>
        <w:pStyle w:val="ListParagraph"/>
        <w:numPr>
          <w:ilvl w:val="0"/>
          <w:numId w:val="4"/>
        </w:numPr>
        <w:rPr>
          <w:rFonts w:ascii="Arial" w:hAnsi="Arial" w:cs="Arial"/>
          <w:sz w:val="24"/>
          <w:szCs w:val="24"/>
        </w:rPr>
      </w:pPr>
      <w:r w:rsidRPr="00C92C86">
        <w:rPr>
          <w:rFonts w:ascii="Arial" w:hAnsi="Arial" w:cs="Arial"/>
          <w:sz w:val="24"/>
          <w:szCs w:val="24"/>
        </w:rPr>
        <w:t xml:space="preserve">It is positive to see feedback has been sought from stakeholders and that it has been positive with regards to accessibility in particular. My feedback is predominantly focused on </w:t>
      </w:r>
      <w:proofErr w:type="gramStart"/>
      <w:r w:rsidRPr="00C92C86">
        <w:rPr>
          <w:rFonts w:ascii="Arial" w:hAnsi="Arial" w:cs="Arial"/>
          <w:sz w:val="24"/>
          <w:szCs w:val="24"/>
        </w:rPr>
        <w:t>accessibility</w:t>
      </w:r>
      <w:proofErr w:type="gramEnd"/>
      <w:r w:rsidRPr="00C92C86">
        <w:rPr>
          <w:rFonts w:ascii="Arial" w:hAnsi="Arial" w:cs="Arial"/>
          <w:sz w:val="24"/>
          <w:szCs w:val="24"/>
        </w:rPr>
        <w:t xml:space="preserve"> and I have considered this guidance from the perspective of a small charity, business or organisation who may have never come into contact with a lot of this terminology or even previously considered or come into contact with the trans community.</w:t>
      </w:r>
    </w:p>
    <w:p w14:paraId="3107E498" w14:textId="77777777" w:rsidR="00847864" w:rsidRPr="00C92C86" w:rsidRDefault="00847864" w:rsidP="00C92C86">
      <w:pPr>
        <w:pStyle w:val="ListParagraph"/>
        <w:numPr>
          <w:ilvl w:val="0"/>
          <w:numId w:val="4"/>
        </w:numPr>
        <w:rPr>
          <w:rFonts w:ascii="Arial" w:hAnsi="Arial" w:cs="Arial"/>
          <w:sz w:val="24"/>
          <w:szCs w:val="24"/>
        </w:rPr>
      </w:pPr>
      <w:r w:rsidRPr="00C92C86">
        <w:rPr>
          <w:rFonts w:ascii="Arial" w:hAnsi="Arial" w:cs="Arial"/>
          <w:sz w:val="24"/>
          <w:szCs w:val="24"/>
        </w:rPr>
        <w:t>With regards to the explanation of protected characteristics (page 5, annex A), I think this is a good explanation and like how it has linked the ERHC website to offer a broader understanding of protected characteristics.</w:t>
      </w:r>
    </w:p>
    <w:p w14:paraId="16D970DD" w14:textId="77777777" w:rsidR="00847864" w:rsidRPr="00C92C86" w:rsidRDefault="00847864" w:rsidP="00C92C86">
      <w:pPr>
        <w:pStyle w:val="ListParagraph"/>
        <w:numPr>
          <w:ilvl w:val="0"/>
          <w:numId w:val="4"/>
        </w:numPr>
        <w:rPr>
          <w:rFonts w:ascii="Arial" w:hAnsi="Arial" w:cs="Arial"/>
          <w:sz w:val="24"/>
          <w:szCs w:val="24"/>
        </w:rPr>
      </w:pPr>
      <w:r w:rsidRPr="00C92C86">
        <w:rPr>
          <w:rFonts w:ascii="Arial" w:hAnsi="Arial" w:cs="Arial"/>
          <w:sz w:val="24"/>
          <w:szCs w:val="24"/>
        </w:rPr>
        <w:t>Pages 6-9 of the guidance give a number of examples to help strengthen understanding which I think is great to aid accessibility – case studies may also be useful here and can help further aid accessibility when the example may be a little more complicated or nuanced. </w:t>
      </w:r>
    </w:p>
    <w:p w14:paraId="2ECB995D" w14:textId="77777777" w:rsidR="00847864" w:rsidRPr="00C92C86" w:rsidRDefault="00847864" w:rsidP="00C92C86">
      <w:pPr>
        <w:pStyle w:val="ListParagraph"/>
        <w:numPr>
          <w:ilvl w:val="0"/>
          <w:numId w:val="4"/>
        </w:numPr>
        <w:rPr>
          <w:rFonts w:ascii="Arial" w:hAnsi="Arial" w:cs="Arial"/>
          <w:sz w:val="24"/>
          <w:szCs w:val="24"/>
        </w:rPr>
      </w:pPr>
      <w:r w:rsidRPr="00C92C86">
        <w:rPr>
          <w:rFonts w:ascii="Arial" w:hAnsi="Arial" w:cs="Arial"/>
          <w:sz w:val="24"/>
          <w:szCs w:val="24"/>
        </w:rPr>
        <w:t>It is helpful to see sections highlighted as ‘questions to answer’ and ‘practical steps to take’ – pages 9-10 of the guidance.</w:t>
      </w:r>
    </w:p>
    <w:p w14:paraId="53C75EC6" w14:textId="77777777" w:rsidR="00847864" w:rsidRPr="00C92C86" w:rsidRDefault="00847864" w:rsidP="00C92C86">
      <w:pPr>
        <w:pStyle w:val="ListParagraph"/>
        <w:rPr>
          <w:rFonts w:ascii="Arial" w:hAnsi="Arial" w:cs="Arial"/>
          <w:sz w:val="24"/>
          <w:szCs w:val="24"/>
        </w:rPr>
      </w:pPr>
    </w:p>
    <w:p w14:paraId="228BB18A" w14:textId="77777777" w:rsidR="00847864" w:rsidRPr="00C92C86" w:rsidRDefault="00847864" w:rsidP="00C92C86">
      <w:pPr>
        <w:ind w:firstLine="360"/>
        <w:rPr>
          <w:rFonts w:ascii="Arial" w:hAnsi="Arial" w:cs="Arial"/>
          <w:sz w:val="24"/>
          <w:szCs w:val="24"/>
        </w:rPr>
      </w:pPr>
      <w:r w:rsidRPr="00C92C86">
        <w:rPr>
          <w:rFonts w:ascii="Arial" w:hAnsi="Arial" w:cs="Arial"/>
          <w:sz w:val="24"/>
          <w:szCs w:val="24"/>
        </w:rPr>
        <w:t xml:space="preserve">My suggestions are as follows: </w:t>
      </w:r>
    </w:p>
    <w:p w14:paraId="6426CC47" w14:textId="77777777" w:rsidR="00847864" w:rsidRPr="00C92C86" w:rsidRDefault="00847864" w:rsidP="00C92C86">
      <w:pPr>
        <w:rPr>
          <w:rFonts w:ascii="Arial" w:hAnsi="Arial" w:cs="Arial"/>
          <w:sz w:val="24"/>
          <w:szCs w:val="24"/>
        </w:rPr>
      </w:pPr>
    </w:p>
    <w:p w14:paraId="3F77B522" w14:textId="77777777" w:rsidR="00847864" w:rsidRPr="00C92C86" w:rsidRDefault="00847864" w:rsidP="00C92C86">
      <w:pPr>
        <w:ind w:left="720"/>
        <w:rPr>
          <w:rFonts w:ascii="Arial" w:eastAsia="Times New Roman" w:hAnsi="Arial" w:cs="Arial"/>
          <w:sz w:val="24"/>
          <w:szCs w:val="24"/>
        </w:rPr>
      </w:pPr>
      <w:r w:rsidRPr="00C92C86">
        <w:rPr>
          <w:rFonts w:ascii="Arial" w:eastAsia="Times New Roman" w:hAnsi="Arial" w:cs="Arial"/>
          <w:sz w:val="24"/>
          <w:szCs w:val="24"/>
        </w:rPr>
        <w:t>1. As part of the ‘practical steps’ – would  it be useful here to recommend further staff training on certai</w:t>
      </w:r>
      <w:r w:rsidR="007A41D0" w:rsidRPr="00C92C86">
        <w:rPr>
          <w:rFonts w:ascii="Arial" w:eastAsia="Times New Roman" w:hAnsi="Arial" w:cs="Arial"/>
          <w:sz w:val="24"/>
          <w:szCs w:val="24"/>
        </w:rPr>
        <w:t>n areas relating to equality and human rights, a</w:t>
      </w:r>
      <w:r w:rsidRPr="00C92C86">
        <w:rPr>
          <w:rFonts w:ascii="Arial" w:eastAsia="Times New Roman" w:hAnsi="Arial" w:cs="Arial"/>
          <w:sz w:val="24"/>
          <w:szCs w:val="24"/>
        </w:rPr>
        <w:t xml:space="preserve">nd provide a signpost back to the EHRC site for guidance? The document seems to assume a baseline understanding of </w:t>
      </w:r>
      <w:r w:rsidR="007A41D0" w:rsidRPr="00C92C86">
        <w:rPr>
          <w:rFonts w:ascii="Arial" w:eastAsia="Times New Roman" w:hAnsi="Arial" w:cs="Arial"/>
          <w:sz w:val="24"/>
          <w:szCs w:val="24"/>
        </w:rPr>
        <w:t>the issues - p</w:t>
      </w:r>
      <w:r w:rsidRPr="00C92C86">
        <w:rPr>
          <w:rFonts w:ascii="Arial" w:eastAsia="Times New Roman" w:hAnsi="Arial" w:cs="Arial"/>
          <w:sz w:val="24"/>
          <w:szCs w:val="24"/>
        </w:rPr>
        <w:t>erhaps more signposting around trans</w:t>
      </w:r>
      <w:r w:rsidR="007A41D0" w:rsidRPr="00C92C86">
        <w:rPr>
          <w:rFonts w:ascii="Arial" w:eastAsia="Times New Roman" w:hAnsi="Arial" w:cs="Arial"/>
          <w:sz w:val="24"/>
          <w:szCs w:val="24"/>
        </w:rPr>
        <w:t xml:space="preserve"> </w:t>
      </w:r>
      <w:r w:rsidR="00940F2C" w:rsidRPr="00C92C86">
        <w:rPr>
          <w:rFonts w:ascii="Arial" w:eastAsia="Times New Roman" w:hAnsi="Arial" w:cs="Arial"/>
          <w:sz w:val="24"/>
          <w:szCs w:val="24"/>
        </w:rPr>
        <w:t xml:space="preserve">issues </w:t>
      </w:r>
      <w:r w:rsidRPr="00C92C86">
        <w:rPr>
          <w:rFonts w:ascii="Arial" w:eastAsia="Times New Roman" w:hAnsi="Arial" w:cs="Arial"/>
          <w:sz w:val="24"/>
          <w:szCs w:val="24"/>
        </w:rPr>
        <w:t>may be helpful here.</w:t>
      </w:r>
    </w:p>
    <w:p w14:paraId="6E6C9E0F" w14:textId="77777777" w:rsidR="00847864" w:rsidRPr="00C92C86" w:rsidRDefault="00847864" w:rsidP="00C92C86">
      <w:pPr>
        <w:ind w:left="720"/>
        <w:rPr>
          <w:rFonts w:ascii="Arial" w:eastAsia="Times New Roman" w:hAnsi="Arial" w:cs="Arial"/>
          <w:sz w:val="24"/>
          <w:szCs w:val="24"/>
        </w:rPr>
      </w:pPr>
      <w:r w:rsidRPr="00C92C86">
        <w:rPr>
          <w:rFonts w:ascii="Arial" w:eastAsia="Times New Roman" w:hAnsi="Arial" w:cs="Arial"/>
          <w:sz w:val="24"/>
          <w:szCs w:val="24"/>
        </w:rPr>
        <w:t>2. Where referring to specific schedules and legislation, could this be made more subtle? It may feel intimidating for some reading the guidance who have never come across this before and could be off-putting or make people feel out of their depth.</w:t>
      </w:r>
    </w:p>
    <w:p w14:paraId="57F894F1" w14:textId="77777777" w:rsidR="00847864" w:rsidRPr="00C92C86" w:rsidRDefault="00847864" w:rsidP="00C92C86">
      <w:pPr>
        <w:ind w:left="720"/>
        <w:rPr>
          <w:rFonts w:ascii="Arial" w:eastAsia="Times New Roman" w:hAnsi="Arial" w:cs="Arial"/>
          <w:sz w:val="24"/>
          <w:szCs w:val="24"/>
        </w:rPr>
      </w:pPr>
      <w:r w:rsidRPr="00C92C86">
        <w:rPr>
          <w:rFonts w:ascii="Arial" w:eastAsia="Times New Roman" w:hAnsi="Arial" w:cs="Arial"/>
          <w:sz w:val="24"/>
          <w:szCs w:val="24"/>
        </w:rPr>
        <w:t>3. Where it says ‘who is this guide for?’ – could it be more explicit in saying it doesn’t matter if you are a charity, or from the private or public sector, this guidance is relevant to you and you must meet the requirements. There is quite a lot of legislation that is only in place for the public sector, or for organisations who employ more than a certain number of staff – this is not an example of that kind of legislation.</w:t>
      </w:r>
    </w:p>
    <w:p w14:paraId="7676C62D" w14:textId="77777777" w:rsidR="00847864" w:rsidRPr="00C92C86" w:rsidRDefault="00847864" w:rsidP="00C92C86">
      <w:pPr>
        <w:ind w:left="720"/>
        <w:rPr>
          <w:rFonts w:ascii="Arial" w:eastAsia="Times New Roman" w:hAnsi="Arial" w:cs="Arial"/>
          <w:sz w:val="24"/>
          <w:szCs w:val="24"/>
        </w:rPr>
      </w:pPr>
      <w:r w:rsidRPr="00C92C86">
        <w:rPr>
          <w:rFonts w:ascii="Arial" w:eastAsia="Times New Roman" w:hAnsi="Arial" w:cs="Arial"/>
          <w:sz w:val="24"/>
          <w:szCs w:val="24"/>
        </w:rPr>
        <w:t xml:space="preserve">4. Regarding ‘proportionality,’ this is an area that needs more consideration in this guidance. </w:t>
      </w:r>
      <w:r w:rsidR="00940F2C" w:rsidRPr="00C92C86">
        <w:rPr>
          <w:rFonts w:ascii="Arial" w:eastAsia="Times New Roman" w:hAnsi="Arial" w:cs="Arial"/>
          <w:sz w:val="24"/>
          <w:szCs w:val="24"/>
        </w:rPr>
        <w:t>M</w:t>
      </w:r>
      <w:r w:rsidRPr="00C92C86">
        <w:rPr>
          <w:rFonts w:ascii="Arial" w:eastAsia="Times New Roman" w:hAnsi="Arial" w:cs="Arial"/>
          <w:sz w:val="24"/>
          <w:szCs w:val="24"/>
        </w:rPr>
        <w:t>y interpretation of what is proportionate may be vastly different to that of those producing the guidance. What does it mean? How do ensure my actions/decisions have been proportionate? Is there any guidance or advice to help me better take proportionate action etc.?</w:t>
      </w:r>
    </w:p>
    <w:p w14:paraId="4C9E12CB" w14:textId="77777777" w:rsidR="001C77E5" w:rsidRPr="00C92C86" w:rsidRDefault="001C77E5" w:rsidP="00C92C86">
      <w:pPr>
        <w:rPr>
          <w:rFonts w:ascii="Arial" w:hAnsi="Arial" w:cs="Arial"/>
          <w:sz w:val="24"/>
          <w:szCs w:val="24"/>
        </w:rPr>
      </w:pPr>
    </w:p>
    <w:sectPr w:rsidR="001C77E5" w:rsidRPr="00C92C8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335A" w14:textId="77777777" w:rsidR="001D0A79" w:rsidRDefault="001D0A79" w:rsidP="001C77E5">
      <w:r>
        <w:separator/>
      </w:r>
    </w:p>
  </w:endnote>
  <w:endnote w:type="continuationSeparator" w:id="0">
    <w:p w14:paraId="236992D0" w14:textId="77777777" w:rsidR="001D0A79" w:rsidRDefault="001D0A79" w:rsidP="001C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605014"/>
      <w:docPartObj>
        <w:docPartGallery w:val="Page Numbers (Bottom of Page)"/>
        <w:docPartUnique/>
      </w:docPartObj>
    </w:sdtPr>
    <w:sdtEndPr/>
    <w:sdtContent>
      <w:sdt>
        <w:sdtPr>
          <w:id w:val="1728636285"/>
          <w:docPartObj>
            <w:docPartGallery w:val="Page Numbers (Top of Page)"/>
            <w:docPartUnique/>
          </w:docPartObj>
        </w:sdtPr>
        <w:sdtEndPr/>
        <w:sdtContent>
          <w:p w14:paraId="297EE9D4" w14:textId="77777777" w:rsidR="00B74CDF" w:rsidRDefault="00B74C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22E4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2E4A">
              <w:rPr>
                <w:b/>
                <w:bCs/>
                <w:noProof/>
              </w:rPr>
              <w:t>3</w:t>
            </w:r>
            <w:r>
              <w:rPr>
                <w:b/>
                <w:bCs/>
                <w:sz w:val="24"/>
                <w:szCs w:val="24"/>
              </w:rPr>
              <w:fldChar w:fldCharType="end"/>
            </w:r>
          </w:p>
        </w:sdtContent>
      </w:sdt>
    </w:sdtContent>
  </w:sdt>
  <w:p w14:paraId="04DD40DD" w14:textId="77777777" w:rsidR="00B74CDF" w:rsidRDefault="00B7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E17E" w14:textId="77777777" w:rsidR="001D0A79" w:rsidRDefault="001D0A79" w:rsidP="001C77E5">
      <w:r>
        <w:separator/>
      </w:r>
    </w:p>
  </w:footnote>
  <w:footnote w:type="continuationSeparator" w:id="0">
    <w:p w14:paraId="3CFB2384" w14:textId="77777777" w:rsidR="001D0A79" w:rsidRDefault="001D0A79" w:rsidP="001C7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6B71" w14:textId="77777777" w:rsidR="001C77E5" w:rsidRDefault="001C77E5">
    <w:pPr>
      <w:pStyle w:val="Header"/>
    </w:pPr>
    <w:r>
      <w:rPr>
        <w:noProof/>
        <w:lang w:eastAsia="en-GB"/>
      </w:rPr>
      <w:drawing>
        <wp:anchor distT="0" distB="0" distL="114300" distR="114300" simplePos="0" relativeHeight="251658240" behindDoc="0" locked="0" layoutInCell="1" allowOverlap="1" wp14:anchorId="79171EC3" wp14:editId="07042ABC">
          <wp:simplePos x="0" y="0"/>
          <wp:positionH relativeFrom="column">
            <wp:posOffset>3377821</wp:posOffset>
          </wp:positionH>
          <wp:positionV relativeFrom="paragraph">
            <wp:posOffset>-313263</wp:posOffset>
          </wp:positionV>
          <wp:extent cx="3169992" cy="777923"/>
          <wp:effectExtent l="0" t="0" r="0" b="3175"/>
          <wp:wrapThrough wrapText="bothSides">
            <wp:wrapPolygon edited="0">
              <wp:start x="0" y="0"/>
              <wp:lineTo x="0" y="21159"/>
              <wp:lineTo x="21418" y="21159"/>
              <wp:lineTo x="214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Welsh_bilingual_Dark Teal_RGBWelsh_bilingu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9992" cy="7779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7967"/>
    <w:multiLevelType w:val="hybridMultilevel"/>
    <w:tmpl w:val="7272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5764F"/>
    <w:multiLevelType w:val="hybridMultilevel"/>
    <w:tmpl w:val="EF36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310E6"/>
    <w:multiLevelType w:val="hybridMultilevel"/>
    <w:tmpl w:val="FD90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04FD8"/>
    <w:multiLevelType w:val="hybridMultilevel"/>
    <w:tmpl w:val="A2D4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CE6390"/>
    <w:multiLevelType w:val="multilevel"/>
    <w:tmpl w:val="97528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10847686">
    <w:abstractNumId w:val="0"/>
  </w:num>
  <w:num w:numId="2" w16cid:durableId="230700916">
    <w:abstractNumId w:val="1"/>
  </w:num>
  <w:num w:numId="3" w16cid:durableId="1554120909">
    <w:abstractNumId w:val="2"/>
  </w:num>
  <w:num w:numId="4" w16cid:durableId="147476478">
    <w:abstractNumId w:val="3"/>
  </w:num>
  <w:num w:numId="5" w16cid:durableId="309330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E5"/>
    <w:rsid w:val="00027547"/>
    <w:rsid w:val="00031021"/>
    <w:rsid w:val="00081B18"/>
    <w:rsid w:val="000C15E4"/>
    <w:rsid w:val="000F257A"/>
    <w:rsid w:val="0011005B"/>
    <w:rsid w:val="00174299"/>
    <w:rsid w:val="001B20F8"/>
    <w:rsid w:val="001C77E5"/>
    <w:rsid w:val="001D0A79"/>
    <w:rsid w:val="00242D9B"/>
    <w:rsid w:val="002E1C97"/>
    <w:rsid w:val="003617D5"/>
    <w:rsid w:val="0036238F"/>
    <w:rsid w:val="003F4A7A"/>
    <w:rsid w:val="00422E4A"/>
    <w:rsid w:val="00470F20"/>
    <w:rsid w:val="00490038"/>
    <w:rsid w:val="00576015"/>
    <w:rsid w:val="00584DB9"/>
    <w:rsid w:val="005D115C"/>
    <w:rsid w:val="00770F74"/>
    <w:rsid w:val="007A41D0"/>
    <w:rsid w:val="007E1072"/>
    <w:rsid w:val="00847864"/>
    <w:rsid w:val="008B34FD"/>
    <w:rsid w:val="00940F2C"/>
    <w:rsid w:val="00943F90"/>
    <w:rsid w:val="009A6D58"/>
    <w:rsid w:val="00A659CF"/>
    <w:rsid w:val="00AD6204"/>
    <w:rsid w:val="00B3510E"/>
    <w:rsid w:val="00B41815"/>
    <w:rsid w:val="00B74CDF"/>
    <w:rsid w:val="00B85B1E"/>
    <w:rsid w:val="00BB28F5"/>
    <w:rsid w:val="00BC4DA6"/>
    <w:rsid w:val="00BE642A"/>
    <w:rsid w:val="00C36CC8"/>
    <w:rsid w:val="00C92C86"/>
    <w:rsid w:val="00D10E26"/>
    <w:rsid w:val="00D127F9"/>
    <w:rsid w:val="00D16A84"/>
    <w:rsid w:val="00DB4D6D"/>
    <w:rsid w:val="00E831EC"/>
    <w:rsid w:val="00E94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1C7252"/>
  <w15:chartTrackingRefBased/>
  <w15:docId w15:val="{AACCFCAD-1B68-456A-B792-30249F3F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E5"/>
    <w:pPr>
      <w:spacing w:after="0" w:line="240" w:lineRule="auto"/>
    </w:pPr>
    <w:rPr>
      <w:rFonts w:ascii="Calibri" w:hAnsi="Calibri" w:cs="Calibri"/>
    </w:rPr>
  </w:style>
  <w:style w:type="paragraph" w:styleId="Heading1">
    <w:name w:val="heading 1"/>
    <w:basedOn w:val="Normal"/>
    <w:next w:val="Normal"/>
    <w:link w:val="Heading1Char"/>
    <w:uiPriority w:val="9"/>
    <w:qFormat/>
    <w:rsid w:val="00C92C8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E5"/>
    <w:pPr>
      <w:tabs>
        <w:tab w:val="center" w:pos="4513"/>
        <w:tab w:val="right" w:pos="9026"/>
      </w:tabs>
    </w:pPr>
  </w:style>
  <w:style w:type="character" w:customStyle="1" w:styleId="HeaderChar">
    <w:name w:val="Header Char"/>
    <w:basedOn w:val="DefaultParagraphFont"/>
    <w:link w:val="Header"/>
    <w:uiPriority w:val="99"/>
    <w:rsid w:val="001C77E5"/>
  </w:style>
  <w:style w:type="paragraph" w:styleId="Footer">
    <w:name w:val="footer"/>
    <w:basedOn w:val="Normal"/>
    <w:link w:val="FooterChar"/>
    <w:uiPriority w:val="99"/>
    <w:unhideWhenUsed/>
    <w:rsid w:val="001C77E5"/>
    <w:pPr>
      <w:tabs>
        <w:tab w:val="center" w:pos="4513"/>
        <w:tab w:val="right" w:pos="9026"/>
      </w:tabs>
    </w:pPr>
  </w:style>
  <w:style w:type="character" w:customStyle="1" w:styleId="FooterChar">
    <w:name w:val="Footer Char"/>
    <w:basedOn w:val="DefaultParagraphFont"/>
    <w:link w:val="Footer"/>
    <w:uiPriority w:val="99"/>
    <w:rsid w:val="001C77E5"/>
  </w:style>
  <w:style w:type="paragraph" w:styleId="ListParagraph">
    <w:name w:val="List Paragraph"/>
    <w:basedOn w:val="Normal"/>
    <w:uiPriority w:val="34"/>
    <w:qFormat/>
    <w:rsid w:val="001C77E5"/>
    <w:pPr>
      <w:ind w:left="720"/>
      <w:contextualSpacing/>
    </w:pPr>
  </w:style>
  <w:style w:type="character" w:customStyle="1" w:styleId="Heading1Char">
    <w:name w:val="Heading 1 Char"/>
    <w:basedOn w:val="DefaultParagraphFont"/>
    <w:link w:val="Heading1"/>
    <w:uiPriority w:val="9"/>
    <w:rsid w:val="00C92C8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92C86"/>
    <w:pPr>
      <w:spacing w:line="259" w:lineRule="auto"/>
      <w:outlineLvl w:val="9"/>
    </w:pPr>
    <w:rPr>
      <w:lang w:val="en-US"/>
    </w:rPr>
  </w:style>
  <w:style w:type="paragraph" w:styleId="Title">
    <w:name w:val="Title"/>
    <w:basedOn w:val="Normal"/>
    <w:next w:val="Normal"/>
    <w:link w:val="TitleChar"/>
    <w:uiPriority w:val="10"/>
    <w:qFormat/>
    <w:rsid w:val="00C92C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C86"/>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C92C86"/>
    <w:pPr>
      <w:spacing w:after="100"/>
    </w:pPr>
  </w:style>
  <w:style w:type="character" w:styleId="Hyperlink">
    <w:name w:val="Hyperlink"/>
    <w:basedOn w:val="DefaultParagraphFont"/>
    <w:uiPriority w:val="99"/>
    <w:unhideWhenUsed/>
    <w:rsid w:val="00C92C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6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Doubleday</dc:creator>
  <cp:keywords/>
  <dc:description/>
  <cp:lastModifiedBy>Cassie Gibbons</cp:lastModifiedBy>
  <cp:revision>2</cp:revision>
  <dcterms:created xsi:type="dcterms:W3CDTF">2023-09-25T16:13:00Z</dcterms:created>
  <dcterms:modified xsi:type="dcterms:W3CDTF">2023-09-25T16:13:00Z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84d57-376d-49da-a544-9c3e106edda4_Enabled">
    <vt:lpwstr>true</vt:lpwstr>
  </property>
  <property fmtid="{D5CDD505-2E9C-101B-9397-08002B2CF9AE}" pid="3" name="MSIP_Label_5eb84d57-376d-49da-a544-9c3e106edda4_SetDate">
    <vt:lpwstr>2023-09-05T15:24:18Z</vt:lpwstr>
  </property>
  <property fmtid="{D5CDD505-2E9C-101B-9397-08002B2CF9AE}" pid="4" name="MSIP_Label_5eb84d57-376d-49da-a544-9c3e106edda4_Method">
    <vt:lpwstr>Standard</vt:lpwstr>
  </property>
  <property fmtid="{D5CDD505-2E9C-101B-9397-08002B2CF9AE}" pid="5" name="MSIP_Label_5eb84d57-376d-49da-a544-9c3e106edda4_Name">
    <vt:lpwstr>OFFICIAL</vt:lpwstr>
  </property>
  <property fmtid="{D5CDD505-2E9C-101B-9397-08002B2CF9AE}" pid="6" name="MSIP_Label_5eb84d57-376d-49da-a544-9c3e106edda4_SiteId">
    <vt:lpwstr>ebb9aa53-402f-40f0-b5d9-0b6096506fbd</vt:lpwstr>
  </property>
  <property fmtid="{D5CDD505-2E9C-101B-9397-08002B2CF9AE}" pid="7" name="MSIP_Label_5eb84d57-376d-49da-a544-9c3e106edda4_ActionId">
    <vt:lpwstr>066202b2-07a4-43c3-ad7e-ac5ad0b702a4</vt:lpwstr>
  </property>
  <property fmtid="{D5CDD505-2E9C-101B-9397-08002B2CF9AE}" pid="8" name="MSIP_Label_5eb84d57-376d-49da-a544-9c3e106edda4_ContentBits">
    <vt:lpwstr>0</vt:lpwstr>
  </property>
</Properties>
</file>